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ec0483fe14f34"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HSA</w:t>
        </w:r>
      </w:r>
      <w:r>
        <w:rPr>
          <w:b/>
        </w:rPr>
        <w:t xml:space="preserve"> </w:t>
        <w:r>
          <w:rPr/>
          <w:t xml:space="preserve">S3387.2</w:t>
        </w:r>
      </w:r>
      <w:r>
        <w:rPr>
          <w:b/>
        </w:rPr>
        <w:t xml:space="preserve"> - NOT FOR FLOOR USE</w:t>
      </w:r>
    </w:p>
    <w:p>
      <w:pPr>
        <w:ind w:left="0" w:right="0" w:firstLine="576"/>
      </w:pPr>
      <w:r>
        <w:rPr/>
        <w:t xml:space="preserve"> </w:t>
      </w:r>
    </w:p>
    <w:p>
      <w:pPr>
        <w:spacing w:before="480" w:after="0" w:line="408" w:lineRule="exact"/>
      </w:pPr>
      <w:r>
        <w:rPr>
          <w:b/>
          <w:u w:val="single"/>
        </w:rPr>
        <w:t xml:space="preserve">E2SHB 1923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with a population greater than twenty thousand shall take at least two of the following actions by December 31, 2022, in order to increase its residential building capacity:</w:t>
      </w:r>
    </w:p>
    <w:p>
      <w:pPr>
        <w:spacing w:before="0" w:after="0" w:line="408" w:lineRule="exact"/>
        <w:ind w:left="0" w:right="0" w:firstLine="576"/>
        <w:jc w:val="left"/>
      </w:pPr>
      <w:r>
        <w:rPr/>
        <w:t xml:space="preserve">(a) Authorize development of an average of at least fifty residential units per acre in one or more areas of not fewer than five hundred acres that include one or more train stations served by commuter rail or light rail;</w:t>
      </w:r>
    </w:p>
    <w:p>
      <w:pPr>
        <w:spacing w:before="0" w:after="0" w:line="408" w:lineRule="exact"/>
        <w:ind w:left="0" w:right="0" w:firstLine="576"/>
        <w:jc w:val="left"/>
      </w:pPr>
      <w:r>
        <w:rPr/>
        <w:t xml:space="preserve">(b) Authorize development of an average of at least twenty-five residential units per acre in one or more areas of not fewer than five hundred acres that include one or more bus stops served by scheduled bus service of at least four times per hour for twelve or more hours per day;</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Require no more than one on-site parking space per two bedrooms in the portions of multifamily zones that are located within one-half mile of a fixed guideway transit station;</w:t>
      </w:r>
    </w:p>
    <w:p>
      <w:pPr>
        <w:spacing w:before="0" w:after="0" w:line="408" w:lineRule="exact"/>
        <w:ind w:left="0" w:right="0" w:firstLine="576"/>
        <w:jc w:val="left"/>
      </w:pPr>
      <w:r>
        <w:rPr/>
        <w:t xml:space="preserve">(f) Authorize accessory dwelling units on all lots located in zoning districts that permit single-family residences, except that a city choosing this option may restrict the use of such units as short-term rentals, may impose a minimum lot size requirement of two thousand five hundred square feet, may restrict accessory dwelling units on lots that do not meet this minimum size requirement, and may not be required to permit an unattached accessory dwelling unit to be added to lots smaller than three thousand two hundred square feet;</w:t>
      </w:r>
    </w:p>
    <w:p>
      <w:pPr>
        <w:spacing w:before="0" w:after="0" w:line="408" w:lineRule="exact"/>
        <w:ind w:left="0" w:right="0" w:firstLine="576"/>
        <w:jc w:val="left"/>
      </w:pPr>
      <w:r>
        <w:rPr/>
        <w:t xml:space="preserve">(g) Adopt a planned action pursuant to RCW 43.21C.420;</w:t>
      </w:r>
    </w:p>
    <w:p>
      <w:pPr>
        <w:spacing w:before="0" w:after="0" w:line="408" w:lineRule="exact"/>
        <w:ind w:left="0" w:right="0" w:firstLine="576"/>
        <w:jc w:val="left"/>
      </w:pPr>
      <w:r>
        <w:rPr/>
        <w:t xml:space="preserve">(h)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(i) Adopt increases in categorical exemptions pursuant to RCW 43.21C.229 for residential or mixed-use development;</w:t>
      </w:r>
    </w:p>
    <w:p>
      <w:pPr>
        <w:spacing w:before="0" w:after="0" w:line="408" w:lineRule="exact"/>
        <w:ind w:left="0" w:right="0" w:firstLine="576"/>
        <w:jc w:val="left"/>
      </w:pPr>
      <w:r>
        <w:rPr/>
        <w:t xml:space="preserve">(j)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(k) Authorize a duplex on each corner lot within all zoning districts that permit single-family residences;</w:t>
      </w:r>
    </w:p>
    <w:p>
      <w:pPr>
        <w:spacing w:before="0" w:after="0" w:line="408" w:lineRule="exact"/>
        <w:ind w:left="0" w:right="0" w:firstLine="576"/>
        <w:jc w:val="left"/>
      </w:pPr>
      <w:r>
        <w:rPr/>
        <w:t xml:space="preserve">(l) Form or join existing subregional partnerships with neighboring jurisdictions to implement and promote affordable housing programs; and</w:t>
      </w:r>
    </w:p>
    <w:p>
      <w:pPr>
        <w:spacing w:before="0" w:after="0" w:line="408" w:lineRule="exact"/>
        <w:ind w:left="0" w:right="0" w:firstLine="576"/>
        <w:jc w:val="left"/>
      </w:pPr>
      <w:r>
        <w:rPr/>
        <w:t xml:space="preserve">(m) Authorize at least a twenty percent density bonus for all residential development projects, both single-family and multifamily, when at least ten percent of the total units within the project are provided as affordable housing. In zoning districts that allow single-family detached housing, the authorization adopted pursuant to this subsection must allow for the construction of duplexes or triplexes to fulfill the affordable housing requirement. For all residential development that qualifies for the twenty percent density bonus of this subsection, the authorization adopted pursuant to this subsection must, for the purpose of demonstrating how additional housing units within a development site may be provided when affordable housing is provided, authorize modifications to one or more of the following zoning requirements: Building heights, structural setbacks, open space, maximum lot and impervious standards, parking, road widths, landscaping buffers, tree retention, or other requirements.</w:t>
      </w:r>
    </w:p>
    <w:p>
      <w:pPr>
        <w:spacing w:before="0" w:after="0" w:line="408" w:lineRule="exact"/>
        <w:ind w:left="0" w:right="0" w:firstLine="576"/>
        <w:jc w:val="left"/>
      </w:pPr>
      <w:r>
        <w:rPr/>
        <w:t xml:space="preserve">(2) As an alternative to taking two of the actions provided in subsection (1) of this section, a city that is subject to subsection (1) of this section may, for purposes of compliance with subsections (1) and (8) of this section,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A housing action plan may utilize data compiled pursuant to section 3 of this act. The housing action plan must:</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A city may rely on actions that take effect on or after January 1, 2012, for purposes of compliance with subsection (1) of this section.</w:t>
      </w:r>
    </w:p>
    <w:p>
      <w:pPr>
        <w:spacing w:before="0" w:after="0" w:line="408" w:lineRule="exact"/>
        <w:ind w:left="0" w:right="0" w:firstLine="576"/>
        <w:jc w:val="left"/>
      </w:pPr>
      <w:r>
        <w:rPr/>
        <w:t xml:space="preserve">(4) A city with a population of twenty thousand or fewer may, but is not required to, take one or more of the actions specified in subsection (1) of this section.</w:t>
      </w:r>
    </w:p>
    <w:p>
      <w:pPr>
        <w:spacing w:before="0" w:after="0" w:line="408" w:lineRule="exact"/>
        <w:ind w:left="0" w:right="0" w:firstLine="576"/>
        <w:jc w:val="left"/>
      </w:pPr>
      <w:r>
        <w:rPr/>
        <w:t xml:space="preserve">(5) Amendments to development regulations and other nonproject actions taken by a city to implement the actions specified in subsection (1) of this section, with the exception of the action specified in subsection (1)(g) of this section, are not subject to administrative or judicial appeal under chapter 43.21C RCW.</w:t>
      </w:r>
    </w:p>
    <w:p>
      <w:pPr>
        <w:spacing w:before="0" w:after="0" w:line="408" w:lineRule="exact"/>
        <w:ind w:left="0" w:right="0" w:firstLine="576"/>
        <w:jc w:val="left"/>
      </w:pPr>
      <w:r>
        <w:rPr/>
        <w:t xml:space="preserve">(6) A city that is subject to the requirements of subsection (1) of this section shall certify to the department once it has complied with the requirements of subsection (1) of this section.</w:t>
      </w:r>
    </w:p>
    <w:p>
      <w:pPr>
        <w:spacing w:before="0" w:after="0" w:line="408" w:lineRule="exact"/>
        <w:ind w:left="0" w:right="0" w:firstLine="576"/>
        <w:jc w:val="left"/>
      </w:pPr>
      <w:r>
        <w:rPr/>
        <w:t xml:space="preserve">(7) In meeting the requirements of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(8) A city that has complied with subsection (1) of this section, based on actions that take effect between the effective date of this section and December 31, 2022, is eligible to apply to the department for a one-time grant of one hundred thousand dollars in order to support planning and outreach efforts, subject to the availability of funds appropriated for that purpose.</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University of Washington, through the Washington center for real estate research, shall produce a report every two years that compiles housing supply and affordability metrics for each city planning under RCW 36.70A.040 with a population of ten thousand or more. The report must be a compilation of objective criteria relating to development regulations, zoning, income, housing and rental prices, housing affordability programs, and other metrics relevant to assessing housing supply and affordability for all income segments of each city subject to the report required by this section.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 by October 15th of each even-numbered year beginning in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development regulations and other nonproject actions taken by a city to implement section 1(1) of this act, with the exception of the action specified in section 1(1)(g)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a minimum residential parking requirement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town, or county.</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w:t>
      </w:r>
      <w:r>
        <w:t>((</w:t>
      </w:r>
      <w:r>
        <w:rPr>
          <w:strike/>
        </w:rPr>
        <w:t xml:space="preserve">and</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May not impose impact fees that cumulatively amount to more than fifty thousand dollars for any single-family residential unit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w:t>
      </w:r>
      <w:r>
        <w:t>((</w:t>
      </w:r>
      <w:r>
        <w:rPr>
          <w:strike/>
        </w:rPr>
        <w:t xml:space="preserve">family</w:t>
      </w:r>
      <w:r>
        <w:t>))</w:t>
      </w:r>
      <w:r>
        <w:rPr/>
        <w:t xml:space="preserve"> </w:t>
      </w:r>
      <w:r>
        <w:rPr>
          <w:u w:val="single"/>
        </w:rPr>
        <w:t xml:space="preserve">household</w:t>
      </w:r>
      <w:r>
        <w:rPr/>
        <w:t xml:space="preserve"> income adjusted for </w:t>
      </w:r>
      <w:r>
        <w:t>((</w:t>
      </w:r>
      <w:r>
        <w:rPr>
          <w:strike/>
        </w:rPr>
        <w:t xml:space="preserve">family</w:t>
      </w:r>
      <w:r>
        <w:t>))</w:t>
      </w:r>
      <w:r>
        <w:rPr/>
        <w:t xml:space="preserve"> </w:t>
      </w:r>
      <w:r>
        <w:rPr>
          <w:u w:val="single"/>
        </w:rPr>
        <w:t xml:space="preserve">household</w:t>
      </w:r>
      <w:r>
        <w:rPr/>
        <w:t xml:space="preserve">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and amounting to not less than one hundred thousand dollars per city subject to section 1 of this act, is not provided by June 30, 2019, in the omnibus appropriations act, section 1 of this act is null and void."</w:t>
      </w:r>
    </w:p>
    <w:p>
      <w:pPr>
        <w:spacing w:before="480" w:after="0" w:line="408" w:lineRule="exact"/>
      </w:pPr>
      <w:r>
        <w:rPr>
          <w:b/>
          <w:u w:val="single"/>
        </w:rPr>
        <w:t xml:space="preserve">E2SHB 1923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NOT ADOPTED 04/13/2019</w:t>
      </w:r>
    </w:p>
    <w:p>
      <w:pPr>
        <w:spacing w:before="0" w:after="0" w:line="408" w:lineRule="exact"/>
        <w:ind w:left="0" w:right="0" w:firstLine="576"/>
        <w:jc w:val="left"/>
      </w:pPr>
      <w:r>
        <w:rPr/>
        <w:t xml:space="preserve">On page 1, line 2 of the title, after "capacity;" strike the remainder of the title and insert "amending RCW 36.70A.030, 43.21C.420, 36.70A.490, and 82.02.060; adding new sections to chapter 36.70A RCW; adding new sections to chapter 43.21C RCW; adding a new section to chapter 35.21 RCW; adding a new section to chapter 35A.21 RCW; and creating a new section."</w:t>
      </w:r>
    </w:p>
    <w:p>
      <w:pPr>
        <w:spacing w:before="0" w:after="0" w:line="408" w:lineRule="exact"/>
        <w:ind w:left="0" w:right="0" w:firstLine="576"/>
        <w:jc w:val="left"/>
      </w:pPr>
      <w:r>
        <w:rPr>
          <w:u w:val="single"/>
        </w:rPr>
        <w:t xml:space="preserve">EFFECT:</w:t>
      </w:r>
      <w:r>
        <w:rPr/>
        <w:t xml:space="preserve"> (1) Requires, rather than encourages, cities over 20,000 in population to select at least two or more actions to increase residential density by December 31, 2022.</w:t>
      </w:r>
    </w:p>
    <w:p>
      <w:pPr>
        <w:spacing w:before="0" w:after="0" w:line="408" w:lineRule="exact"/>
        <w:ind w:left="0" w:right="0" w:firstLine="576"/>
        <w:jc w:val="left"/>
      </w:pPr>
      <w:r>
        <w:rPr/>
        <w:t xml:space="preserve">(2) Adds forming or joining existing subregional partnerships with neighboring jurisdictions to implement and promote affordable housing programs as an action item a city may select to increase residential density.</w:t>
      </w:r>
    </w:p>
    <w:p>
      <w:pPr>
        <w:spacing w:before="0" w:after="0" w:line="408" w:lineRule="exact"/>
        <w:ind w:left="0" w:right="0" w:firstLine="576"/>
        <w:jc w:val="left"/>
      </w:pPr>
      <w:r>
        <w:rPr/>
        <w:t xml:space="preserve">(3) Adds a 20 percent density bonus for all residential development projects when at least 10 percent of the total units within the project are provided as affordable housing as an action item a city may select to increase residential density.</w:t>
      </w:r>
    </w:p>
    <w:p>
      <w:pPr>
        <w:spacing w:before="0" w:after="0" w:line="408" w:lineRule="exact"/>
        <w:ind w:left="0" w:right="0" w:firstLine="576"/>
        <w:jc w:val="left"/>
      </w:pPr>
      <w:r>
        <w:rPr/>
        <w:t xml:space="preserve">(4) Encourages cities under 20,000 in population to take one or more action items to increase residential density.</w:t>
      </w:r>
    </w:p>
    <w:p>
      <w:pPr>
        <w:spacing w:before="0" w:after="0" w:line="408" w:lineRule="exact"/>
        <w:ind w:left="0" w:right="0" w:firstLine="576"/>
        <w:jc w:val="left"/>
      </w:pPr>
      <w:r>
        <w:rPr/>
        <w:t xml:space="preserve">(5) Amendments to development regulations and other nonproject actions taken by a city to add residential density requirements are exempt from appeals under SEPA, rather than categorically exempt from SEPA.</w:t>
      </w:r>
    </w:p>
    <w:p>
      <w:pPr>
        <w:spacing w:before="0" w:after="0" w:line="408" w:lineRule="exact"/>
        <w:ind w:left="0" w:right="0" w:firstLine="576"/>
        <w:jc w:val="left"/>
      </w:pPr>
      <w:r>
        <w:rPr/>
        <w:t xml:space="preserve">(6) Directs the Center for Real Estate Research at the University of Washington, in collaboration with the Housing Finance Commission and the Office of Financial Management, to produce a report every two years compiling housing supply and affordability metrics for each city planning under the GMA.</w:t>
      </w:r>
    </w:p>
    <w:p>
      <w:pPr>
        <w:spacing w:before="0" w:after="0" w:line="408" w:lineRule="exact"/>
        <w:ind w:left="0" w:right="0" w:firstLine="576"/>
        <w:jc w:val="left"/>
      </w:pPr>
      <w:r>
        <w:rPr/>
        <w:t xml:space="preserve">(7) A city that has complied with requirements to take at least two actions to increase residential density is eligible to apply to the Department of Commerce for a one-time grant of $100,000.</w:t>
      </w:r>
    </w:p>
    <w:p>
      <w:pPr>
        <w:spacing w:before="0" w:after="0" w:line="408" w:lineRule="exact"/>
        <w:ind w:left="0" w:right="0" w:firstLine="576"/>
        <w:jc w:val="left"/>
      </w:pPr>
      <w:r>
        <w:rPr/>
        <w:t xml:space="preserve">(8) Encourages cities to prioritize creating affordable, inclusive neighborhoods and consider displacement.</w:t>
      </w:r>
    </w:p>
    <w:p>
      <w:pPr>
        <w:spacing w:before="0" w:after="0" w:line="408" w:lineRule="exact"/>
        <w:ind w:left="0" w:right="0" w:firstLine="576"/>
        <w:jc w:val="left"/>
      </w:pPr>
      <w:r>
        <w:rPr/>
        <w:t xml:space="preserve">(9) Modifies parking requirements for certain affordable housing units that are affordable to very low-income or extremely low-income individuals near transit locations.</w:t>
      </w:r>
    </w:p>
    <w:p>
      <w:pPr>
        <w:spacing w:before="0" w:after="0" w:line="408" w:lineRule="exact"/>
        <w:ind w:left="0" w:right="0" w:firstLine="576"/>
        <w:jc w:val="left"/>
      </w:pPr>
      <w:r>
        <w:rPr/>
        <w:t xml:space="preserve">(10) Removes the requirement for cities over 500,000 regarding notice of scoping for a nonproject EIS related to a subarea plan.</w:t>
      </w:r>
    </w:p>
    <w:p>
      <w:pPr>
        <w:spacing w:before="0" w:after="0" w:line="408" w:lineRule="exact"/>
        <w:ind w:left="0" w:right="0" w:firstLine="576"/>
        <w:jc w:val="left"/>
      </w:pPr>
      <w:r>
        <w:rPr/>
        <w:t xml:space="preserve">(11) Removes the requirement for cities over 500,000 to analyze whether an adopted subarea plan will result in displacement or fragmentation of certain populations.</w:t>
      </w:r>
    </w:p>
    <w:p>
      <w:pPr>
        <w:spacing w:before="0" w:after="0" w:line="408" w:lineRule="exact"/>
        <w:ind w:left="0" w:right="0" w:firstLine="576"/>
        <w:jc w:val="left"/>
      </w:pPr>
      <w:r>
        <w:rPr/>
        <w:t xml:space="preserve">(12) A city may not prohibit permanent supportive housing in areas where multifamily housing are permitted.</w:t>
      </w:r>
    </w:p>
    <w:p>
      <w:pPr>
        <w:spacing w:before="0" w:after="0" w:line="408" w:lineRule="exact"/>
        <w:ind w:left="0" w:right="0" w:firstLine="576"/>
        <w:jc w:val="left"/>
      </w:pPr>
      <w:r>
        <w:rPr/>
        <w:t xml:space="preserve">(13) Adds a null and void clause if specific funding is not provided in the budget, including an amount not less than $100,000 per city subject to residential density requirements.</w:t>
      </w:r>
    </w:p>
    <w:p>
      <w:pPr>
        <w:spacing w:before="0" w:after="0" w:line="408" w:lineRule="exact"/>
        <w:ind w:left="0" w:right="0" w:firstLine="576"/>
        <w:jc w:val="left"/>
      </w:pPr>
      <w:r>
        <w:rPr/>
        <w:t xml:space="preserve">(14) Authorizes a city to adopt a housing action plan to encourage additional affordable and market rate housing as an alternative to adopting two action items to increase residential building capacity.</w:t>
      </w:r>
    </w:p>
    <w:p>
      <w:pPr>
        <w:spacing w:before="0" w:after="0" w:line="408" w:lineRule="exact"/>
        <w:ind w:left="0" w:right="0" w:firstLine="576"/>
        <w:jc w:val="left"/>
      </w:pPr>
      <w:r>
        <w:rPr/>
        <w:t xml:space="preserve">(15) Limits impact fees to less than $50,000 for any single-family residential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cb604dd714cae" /></Relationships>
</file>