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d6063a63e4254" /></Relationships>
</file>

<file path=word/document.xml><?xml version="1.0" encoding="utf-8"?>
<w:document xmlns:w="http://schemas.openxmlformats.org/wordprocessingml/2006/main">
  <w:body>
    <w:p>
      <w:r>
        <w:rPr>
          <w:b/>
        </w:rPr>
        <w:r>
          <w:rPr/>
          <w:t xml:space="preserve">2711-S</w:t>
        </w:r>
      </w:r>
      <w:r>
        <w:rPr>
          <w:b/>
        </w:rPr>
        <w:t xml:space="preserve"> </w:t>
        <w:t xml:space="preserve">AMS</w:t>
      </w:r>
      <w:r>
        <w:rPr>
          <w:b/>
        </w:rPr>
        <w:t xml:space="preserve"> </w:t>
        <w:r>
          <w:rPr/>
          <w:t xml:space="preserve">WELL</w:t>
        </w:r>
      </w:r>
      <w:r>
        <w:rPr>
          <w:b/>
        </w:rPr>
        <w:t xml:space="preserve"> </w:t>
        <w:r>
          <w:rPr/>
          <w:t xml:space="preserve">S7649.1</w:t>
        </w:r>
      </w:r>
      <w:r>
        <w:rPr>
          <w:b/>
        </w:rPr>
        <w:t xml:space="preserve"> - NOT FOR FLOOR USE</w:t>
      </w:r>
    </w:p>
    <w:p>
      <w:pPr>
        <w:ind w:left="0" w:right="0" w:firstLine="576"/>
      </w:pPr>
    </w:p>
    <w:p>
      <w:pPr>
        <w:spacing w:before="480" w:after="0" w:line="408" w:lineRule="exact"/>
      </w:pPr>
      <w:r>
        <w:rPr>
          <w:b/>
          <w:u w:val="single"/>
        </w:rPr>
        <w:t xml:space="preserve">SHB 2711</w:t>
      </w:r>
      <w:r>
        <w:t xml:space="preserve"> -</w:t>
      </w:r>
      <w:r>
        <w:t xml:space="preserve"> </w:t>
        <w:t xml:space="preserve">S AMD</w:t>
      </w:r>
      <w:r>
        <w:t xml:space="preserve"> </w:t>
      </w:r>
      <w:r>
        <w:rPr>
          <w:b/>
        </w:rPr>
        <w:t xml:space="preserve">1369</w:t>
      </w:r>
    </w:p>
    <w:p>
      <w:pPr>
        <w:spacing w:before="0" w:after="0" w:line="408" w:lineRule="exact"/>
        <w:ind w:left="0" w:right="0" w:firstLine="576"/>
        <w:jc w:val="left"/>
      </w:pPr>
      <w:r>
        <w:rPr/>
        <w:t xml:space="preserve">By Senator Wellman</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students in foster care, experiencing homelessness, or both, have the lowest high school graduation and postsecondary completion outcomes compared to other student populations. The legislature also finds that these students change schools at significantly higher rates than their general student population peers, and that these changes can disrupt academic progress. The legislature further finds that these students have disproportionate suspension and expulsion rates, and require special education services at much higher rates than other students.</w:t>
      </w:r>
    </w:p>
    <w:p>
      <w:pPr>
        <w:spacing w:before="0" w:after="0" w:line="408" w:lineRule="exact"/>
        <w:ind w:left="0" w:right="0" w:firstLine="576"/>
        <w:jc w:val="left"/>
      </w:pPr>
      <w:r>
        <w:rPr/>
        <w:t xml:space="preserve">(2) The legislature acknowledges that, as a result, only forty-six percent of Washington students who experienced foster care during high school, and fifty-five percent of students experiencing homelessness, graduated from high school on time in 2018. By comparison, the statewide four-year graduation rate for the class of 2019 was nearly eighty-one percent. Furthermore, students of color are disproportionately represented in the foster care system and in homeless student populations, and their academic outcomes are significantly lower than their white peers. Additionally, students who do not achieve positive education outcomes experience high rates of unemployment, poverty, adult homelessness, and incarceration.</w:t>
      </w:r>
    </w:p>
    <w:p>
      <w:pPr>
        <w:spacing w:before="0" w:after="0" w:line="408" w:lineRule="exact"/>
        <w:ind w:left="0" w:right="0" w:firstLine="576"/>
        <w:jc w:val="left"/>
      </w:pPr>
      <w:r>
        <w:rPr/>
        <w:t xml:space="preserve">(3) The legislature, therefore, intends to provide the opportunity for an equitable education for students in foster care, experiencing homelessness, or both. In accomplishing this goal, the legislature intends to achieve parity in education outcomes for these students, both in comparison to their general student population peers and throughout the education continuum of prekindergarten to postsecondary education.</w:t>
      </w:r>
    </w:p>
    <w:p>
      <w:pPr>
        <w:spacing w:before="0" w:after="0" w:line="408" w:lineRule="exact"/>
        <w:ind w:left="0" w:right="0" w:firstLine="576"/>
        <w:jc w:val="left"/>
      </w:pPr>
      <w:r>
        <w:rPr/>
        <w:t xml:space="preserve">(4) In 2018 the legislature directed the department of children, youth, and families and other entities in chapter 299, Laws of 2018, to convene a work group focused on students in foster care and students experiencing homelessness. The legislature resolves to continue this work group to improve education outcomes for these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both.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and representation from the educational opportunity gap oversight and accountability committee. The work group must also include four legislative members who possess experience in issues of education, the foster care system, and homeless youth,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both:</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both, by examining data, disaggregated by race and ethnicity, on:</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Evaluate the outcomes, needs, and service array for students in foster care, experiencing homelessness, or both,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both,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annual reports to the governor, the appropriate committees of the legislature, and the educational opportunity gap oversight and accountability committee by October 31, 2021, 2022, and 2023 that identify:</w:t>
      </w:r>
    </w:p>
    <w:p>
      <w:pPr>
        <w:spacing w:before="0" w:after="0" w:line="408" w:lineRule="exact"/>
        <w:ind w:left="0" w:right="0" w:firstLine="576"/>
        <w:jc w:val="left"/>
      </w:pPr>
      <w:r>
        <w:rPr/>
        <w:t xml:space="preserve">(A) Progress the state has made toward achieving education parity for students in foster care, experiencing homelessness, or both;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2024.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annual reports to the work group regarding education outcomes specified in subsection (3)(a)(i) and (ii) of this section by March 31, 2021, 2022, and 2023.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For the purposes of this section, "students in foster care, experiencing homelessness, or both" includes students who are in foster care or experiencing homelessness, and students who have been homeless or in foster care, or both.</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Pr>
        <w:spacing w:before="480" w:after="0" w:line="408" w:lineRule="exact"/>
      </w:pPr>
      <w:r>
        <w:rPr>
          <w:b/>
          <w:u w:val="single"/>
        </w:rPr>
        <w:t xml:space="preserve">SHB 2711</w:t>
      </w:r>
      <w:r>
        <w:t xml:space="preserve"> -</w:t>
      </w:r>
      <w:r>
        <w:t xml:space="preserve"> </w:t>
        <w:t xml:space="preserve">S AMD</w:t>
      </w:r>
      <w:r>
        <w:t xml:space="preserve"> </w:t>
      </w:r>
      <w:r>
        <w:rPr>
          <w:b/>
        </w:rPr>
        <w:t xml:space="preserve">1369</w:t>
      </w:r>
    </w:p>
    <w:p>
      <w:pPr>
        <w:spacing w:before="0" w:after="0" w:line="408" w:lineRule="exact"/>
        <w:ind w:left="0" w:right="0" w:firstLine="576"/>
        <w:jc w:val="left"/>
      </w:pPr>
      <w:r>
        <w:rPr/>
        <w:t xml:space="preserve">By Senator Wellman</w:t>
      </w:r>
    </w:p>
    <w:p>
      <w:pPr>
        <w:jc w:val="right"/>
      </w:pPr>
      <w:r>
        <w:rPr>
          <w:b/>
        </w:rPr>
        <w:t xml:space="preserve">ADOPTED 03/10/2020</w:t>
      </w:r>
    </w:p>
    <w:p>
      <w:pPr>
        <w:spacing w:before="0" w:after="0" w:line="408" w:lineRule="exact"/>
        <w:ind w:left="0" w:right="0" w:firstLine="576"/>
        <w:jc w:val="left"/>
      </w:pPr>
      <w:r>
        <w:rPr/>
        <w:t xml:space="preserve">On page 1, line 3 of the title, after "education;" strike the remainder of the title and insert "amending RCW 74.13.1051; adding a new section to chapter 28A.300 RCW; creating a new section; repealing RCW 28A.300.8001; and providing an expiration date."</w:t>
      </w:r>
    </w:p>
    <w:p>
      <w:pPr>
        <w:spacing w:before="0" w:after="0" w:line="408" w:lineRule="exact"/>
        <w:ind w:left="0" w:right="0" w:firstLine="576"/>
        <w:jc w:val="left"/>
      </w:pPr>
      <w:r>
        <w:rPr>
          <w:u w:val="single"/>
        </w:rPr>
        <w:t xml:space="preserve">EFFECT:</w:t>
      </w:r>
      <w:r>
        <w:rPr/>
        <w:t xml:space="preserve"> (1) Does not refer to the project education impact work group.</w:t>
      </w:r>
    </w:p>
    <w:p>
      <w:pPr>
        <w:spacing w:before="0" w:after="0" w:line="408" w:lineRule="exact"/>
        <w:ind w:left="0" w:right="0" w:firstLine="576"/>
        <w:jc w:val="left"/>
      </w:pPr>
      <w:r>
        <w:rPr/>
        <w:t xml:space="preserve">(2) Expires the work group on December 31, 2024.</w:t>
      </w:r>
    </w:p>
    <w:p>
      <w:pPr>
        <w:spacing w:before="0" w:after="0" w:line="408" w:lineRule="exact"/>
        <w:ind w:left="0" w:right="0" w:firstLine="576"/>
        <w:jc w:val="left"/>
      </w:pPr>
      <w:r>
        <w:rPr/>
        <w:t xml:space="preserve">(3) Provides that nothing prevents the Office of the Superintendent of Public Instruction (OSPI) from using an existing work group to meet the requirements of the section and provides that the work group shall seek to promote continuity with efforts resulting from a supplemental budget proviso in ESSB 6032 (2018).</w:t>
      </w:r>
    </w:p>
    <w:p>
      <w:pPr>
        <w:spacing w:before="0" w:after="0" w:line="408" w:lineRule="exact"/>
        <w:ind w:left="0" w:right="0" w:firstLine="576"/>
        <w:jc w:val="left"/>
      </w:pPr>
      <w:r>
        <w:rPr/>
        <w:t xml:space="preserve">(4) Specifies that the four legislative members of the work group must possess experience in issues of education, the foster care system, and homeless youth.</w:t>
      </w:r>
    </w:p>
    <w:p>
      <w:pPr>
        <w:spacing w:before="0" w:after="0" w:line="408" w:lineRule="exact"/>
        <w:ind w:left="0" w:right="0" w:firstLine="576"/>
        <w:jc w:val="left"/>
      </w:pPr>
      <w:r>
        <w:rPr/>
        <w:t xml:space="preserve">(5) Requires the work group to develop recommendations and submit annual reports on October 31, 2021, 2022, and 2023, and adds that the reports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(6) Directs the work group to submit a final report by July 1, 2024.</w:t>
      </w:r>
    </w:p>
    <w:p>
      <w:pPr>
        <w:spacing w:before="0" w:after="0" w:line="408" w:lineRule="exact"/>
        <w:ind w:left="0" w:right="0" w:firstLine="576"/>
        <w:jc w:val="left"/>
      </w:pPr>
      <w:r>
        <w:rPr/>
        <w:t xml:space="preserve">(7) Removes references to a plan to achieve certain goals by 2027 and a list of certain goals.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505c5fc924261" /></Relationships>
</file>