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f1fd147ce4c6f" /></Relationships>
</file>

<file path=word/document.xml><?xml version="1.0" encoding="utf-8"?>
<w:document xmlns:w="http://schemas.openxmlformats.org/wordprocessingml/2006/main">
  <w:body>
    <w:p>
      <w:r>
        <w:rPr>
          <w:b/>
        </w:rPr>
        <w:r>
          <w:rPr/>
          <w:t xml:space="preserve">2714-S</w:t>
        </w:r>
      </w:r>
      <w:r>
        <w:rPr>
          <w:b/>
        </w:rPr>
        <w:t xml:space="preserve"> </w:t>
        <w:t xml:space="preserve">AMS</w:t>
      </w:r>
      <w:r>
        <w:rPr>
          <w:b/>
        </w:rPr>
        <w:t xml:space="preserve"> </w:t>
        <w:r>
          <w:rPr/>
          <w:t xml:space="preserve">AWNP</w:t>
        </w:r>
      </w:r>
      <w:r>
        <w:rPr>
          <w:b/>
        </w:rPr>
        <w:t xml:space="preserve"> </w:t>
        <w:r>
          <w:rPr/>
          <w:t xml:space="preserve">S6974.3</w:t>
        </w:r>
      </w:r>
      <w:r>
        <w:rPr>
          <w:b/>
        </w:rPr>
        <w:t xml:space="preserve"> - NOT FOR FLOOR USE</w:t>
      </w:r>
    </w:p>
    <w:p>
      <w:pPr>
        <w:ind w:left="0" w:right="0" w:firstLine="576"/>
      </w:pPr>
    </w:p>
    <w:p>
      <w:pPr>
        <w:spacing w:before="480" w:after="0" w:line="408" w:lineRule="exact"/>
      </w:pPr>
      <w:r>
        <w:rPr>
          <w:b/>
          <w:u w:val="single"/>
        </w:rPr>
        <w:t xml:space="preserve">SHB 2714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working forestland can be part of a climate strategy. The food and agricultural organization of the United Nations issued a report in 2016 entitled "forestry for a low-carbon future" with specific recommendations for integrating forests and wood products in climate change strategies.</w:t>
      </w:r>
    </w:p>
    <w:p>
      <w:pPr>
        <w:spacing w:before="0" w:after="0" w:line="408" w:lineRule="exact"/>
        <w:ind w:left="0" w:right="0" w:firstLine="576"/>
        <w:jc w:val="left"/>
      </w:pPr>
      <w:r>
        <w:rPr/>
        <w:t xml:space="preserve">(2) The intergovernmental panel on climate change, or IPCC, released a report in 2019 entitled "IPCC special report on climate change, desertification, land degradation, sustainable land management, food security, and greenhouse gas fluxes in terrestrial ecosystems." This report identifies several measures where sustainable forest management and forest products can be utilized to maintain and enhance carbon sequestration, including afforestation and reforestation, to increase the carbon sequestration potential of trees by maintaining the forestland base.</w:t>
      </w:r>
    </w:p>
    <w:p>
      <w:pPr>
        <w:spacing w:before="0" w:after="0" w:line="408" w:lineRule="exact"/>
        <w:ind w:left="0" w:right="0" w:firstLine="576"/>
        <w:jc w:val="left"/>
      </w:pPr>
      <w:r>
        <w:rPr/>
        <w:t xml:space="preserve">(3) Small forestland owners can enhance the state's ability to continue to sequester carbon by maintaining healthy forests and producing forest products. Small forestland owners should be encouraged to maintain their land as working forests. One way to do so is to recognize the value of sequestered carbon in forest riparian easements created in RCW 76.13.120.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w:t>
      </w:r>
      <w:r>
        <w:rPr>
          <w:u w:val="single"/>
        </w:rPr>
        <w:t xml:space="preserve">(a) Any state program that places a value on carbon may recognize and include the value of the carbon stored in forest riparian easements.</w:t>
      </w:r>
    </w:p>
    <w:p>
      <w:pPr>
        <w:spacing w:before="0" w:after="0" w:line="408" w:lineRule="exact"/>
        <w:ind w:left="0" w:right="0" w:firstLine="576"/>
        <w:jc w:val="left"/>
      </w:pPr>
      <w:r>
        <w:rPr>
          <w:u w:val="single"/>
        </w:rPr>
        <w:t xml:space="preserve">(b) For all riparian easements, if the landowner has not been compensated for the value of the carbon under this section, the landowner may market the carbon stored in the easement.</w:t>
      </w:r>
    </w:p>
    <w:p>
      <w:pPr>
        <w:spacing w:before="0" w:after="0" w:line="408" w:lineRule="exact"/>
        <w:ind w:left="0" w:right="0" w:firstLine="576"/>
        <w:jc w:val="left"/>
      </w:pPr>
      <w:r>
        <w:rPr>
          <w:u w:val="single"/>
        </w:rPr>
        <w:t xml:space="preserve">(9)</w:t>
      </w:r>
      <w:r>
        <w:rPr/>
        <w:t xml:space="preserve">(a) Except as provided in subsection </w:t>
      </w:r>
      <w:r>
        <w:t>((</w:t>
      </w:r>
      <w:r>
        <w:rPr>
          <w:strike/>
        </w:rPr>
        <w:t xml:space="preserve">(9)</w:t>
      </w:r>
      <w:r>
        <w:t>))</w:t>
      </w:r>
      <w:r>
        <w:rPr/>
        <w:t xml:space="preserve"> </w:t>
      </w:r>
      <w:r>
        <w:rPr>
          <w:u w:val="single"/>
        </w:rPr>
        <w:t xml:space="preserve">(10)</w:t>
      </w:r>
      <w:r>
        <w:rPr/>
        <w:t xml:space="preserve"> of this section and subject to the availability of amounts appropriated for this specific purpose, the small forestland owner office shall offer compensation for qualifying timber to the qualifying small forestland owner in the amount of fifty percent of the value </w:t>
      </w:r>
      <w:r>
        <w:rPr>
          <w:u w:val="single"/>
        </w:rPr>
        <w:t xml:space="preserve">of the timber</w:t>
      </w:r>
      <w:r>
        <w:rPr/>
        <w:t xml:space="preserv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forestland 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 </w:t>
      </w:r>
      <w:r>
        <w:rPr>
          <w:u w:val="single"/>
        </w:rPr>
        <w:t xml:space="preserve">for timber or carbon, but reimbursement for timber and carbon on qualifying timber is permissible</w:t>
      </w:r>
      <w:r>
        <w:rPr/>
        <w:t xml:space="preserve">."</w:t>
      </w:r>
    </w:p>
    <w:p>
      <w:pPr>
        <w:spacing w:before="480" w:after="0" w:line="408" w:lineRule="exact"/>
      </w:pPr>
      <w:r>
        <w:rPr>
          <w:b/>
          <w:u w:val="single"/>
        </w:rPr>
        <w:t xml:space="preserve">SHB 2714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On page 1, line 2 of the title, after "easements;" strike the remainder of the title and insert "amending RCW 76.13.120; and creating a new section."</w:t>
      </w:r>
    </w:p>
    <w:p>
      <w:pPr>
        <w:spacing w:before="0" w:after="0" w:line="408" w:lineRule="exact"/>
        <w:ind w:left="0" w:right="0" w:firstLine="576"/>
        <w:jc w:val="left"/>
      </w:pPr>
      <w:r>
        <w:rPr>
          <w:u w:val="single"/>
        </w:rPr>
        <w:t xml:space="preserve">EFFECT:</w:t>
      </w:r>
      <w:r>
        <w:rPr/>
        <w:t xml:space="preserve"> Clarifies that a small forest landowner may market carbon stored in an easement if they have not been compensated for the value of the carbon under the easement program. Removes the requirement for the Department of Natural Resources to calculate the amount of carbon stored in qualifying timber using established formulas. Removes the requirement for future riparian easements to include the full value of carbon stored in all qualifying timber if the state develops markets for valuing carbon.</w:t>
      </w:r>
    </w:p>
    <w:p>
      <w:pPr>
        <w:spacing w:before="0" w:after="0" w:line="408" w:lineRule="exact"/>
        <w:ind w:left="0" w:right="0" w:firstLine="576"/>
        <w:jc w:val="left"/>
      </w:pPr>
      <w:r>
        <w:rPr/>
        <w:t xml:space="preserve">Provides that any state program that places a value on carbon may, rather than must, recognize and include the value of the carbon stored in forest riparian easements.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d8d8074d04ce0" /></Relationships>
</file>