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6e91f601c46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S1403.1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02/06/2019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If specific funding to local governments for the purposes of section 4 of this act, referencing section 4 of this act by bill or chapter number and section number, is not provided by June 30, 2019, in the omnibus appropriations act, sections 4 and 5 of this act are null and void."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02/06/2019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"RCW;"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"29A.84 RCW" insert "; and creating 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requirements that county auditors comply with a tribe's request for a ballot drop box or designation of a ballot pickup and collection location null and void if specific funding for those purposes is not provided in the 2019-2021 operating budget.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2c4750ab344e5" /></Relationships>
</file>