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ab7eb2764428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S2657.1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15, line 17, strike all of section 2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"offenders;"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 of the title, after "9.94A.030" strike all material through "date" on line 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requiring offenders be resentenced if Robbery 2 was used as a basis for finding the offender was a persistent offender prior to the effective date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e6fd3d05b4feb" /></Relationships>
</file>