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dfe855b2c42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S2629.2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9, strike all of subsection (4)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No behavioral health administrative services organization may contract with itself as a behavioral health agency, or contract with a behavioral health agency that has administrative linkages to the behavioral health administrative services organization in any manner that would give the agency a competitive advantage in obtaining or competing for contracts, except that a county or group of counties may provide designated crisis responder services, initial crisis services, criminal diversion services, hospital reentry services, and criminal reentry services. The county-administered service must have a clear separation of powers and duties separate from a county-run behavioral health administrative services organization and suitable accounting procedures must be followed to ensure the funding is traceable and accounted for separately from other funds.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behavioral health administrative services organization (BH-ASO) from contracting with itself as a behavioral health agency, or contracting with a behavioral health agency that has administrative linkages to the BH-ASO in any manner that would give the agency a competitive advantage in obtaining or competing for contracts, except that a county or group of counties may provide designated crisis responder services, initial crisis services, criminal diversion services, hospital reentry services, and criminal reentry services if the county-administrated service has a clear separation of powers and duties separate from a county-run behavioral health administrative services organization and suitable accounting procedures to ensure the funding is traceable and accounted for separately from other funds.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e5e4bc1784569" /></Relationships>
</file>