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43baae589499b"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OBAN</w:t>
        </w:r>
      </w:r>
      <w:r>
        <w:rPr>
          <w:b/>
        </w:rPr>
        <w:t xml:space="preserve"> </w:t>
        <w:r>
          <w:rPr/>
          <w:t xml:space="preserve">S2447.1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234</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Beginning on page 1, line 13, strike all of section 1</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234</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On page 1, beginning on line 7 of the title, after "53.18.050;" strike "adding new sections to chapter 4.24 RCW;" and insert "adding a new section to chapter 4.24 RCW;"</w:t>
      </w:r>
    </w:p>
    <w:p>
      <w:pPr>
        <w:spacing w:before="0" w:after="0" w:line="408" w:lineRule="exact"/>
        <w:ind w:left="0" w:right="0" w:firstLine="576"/>
        <w:jc w:val="left"/>
      </w:pPr>
      <w:r>
        <w:rPr>
          <w:u w:val="single"/>
        </w:rPr>
        <w:t xml:space="preserve">EFFECT:</w:t>
      </w:r>
      <w:r>
        <w:rPr/>
        <w:t xml:space="preserve"> Removes the provision providing that public employers and employee organizations are not liable for requiring, deducting, receiving, or retaining agency or fair share fees if the fees were permitted at the time under state law and were paid before June 27,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0ec8ebcd24ec7" /></Relationships>
</file>