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a100bac274653" /></Relationships>
</file>

<file path=word/document.xml><?xml version="1.0" encoding="utf-8"?>
<w:document xmlns:w="http://schemas.openxmlformats.org/wordprocessingml/2006/main">
  <w:body>
    <w:p>
      <w:r>
        <w:rPr>
          <w:b/>
        </w:rPr>
        <w:r>
          <w:rPr/>
          <w:t xml:space="preserve">5696-S</w:t>
        </w:r>
      </w:r>
      <w:r>
        <w:rPr>
          <w:b/>
        </w:rPr>
        <w:t xml:space="preserve"> </w:t>
        <w:t xml:space="preserve">AMS</w:t>
      </w:r>
      <w:r>
        <w:rPr>
          <w:b/>
        </w:rPr>
        <w:t xml:space="preserve"> </w:t>
        <w:r>
          <w:rPr/>
          <w:t xml:space="preserve">WARN</w:t>
        </w:r>
      </w:r>
      <w:r>
        <w:rPr>
          <w:b/>
        </w:rPr>
        <w:t xml:space="preserve"> </w:t>
        <w:r>
          <w:rPr/>
          <w:t xml:space="preserve">S3005.1</w:t>
        </w:r>
      </w:r>
      <w:r>
        <w:rPr>
          <w:b/>
        </w:rPr>
        <w:t xml:space="preserve"> - NOT FOR FLOOR USE</w:t>
      </w:r>
    </w:p>
    <w:p>
      <w:pPr>
        <w:ind w:left="0" w:right="0" w:firstLine="576"/>
      </w:pPr>
    </w:p>
    <w:p>
      <w:pPr>
        <w:spacing w:before="480" w:after="0" w:line="408" w:lineRule="exact"/>
      </w:pPr>
      <w:r>
        <w:rPr>
          <w:b/>
          <w:u w:val="single"/>
        </w:rPr>
        <w:t xml:space="preserve">SSB 5696</w:t>
      </w:r>
      <w:r>
        <w:t xml:space="preserve"> -</w:t>
      </w:r>
      <w:r>
        <w:t xml:space="preserve"> </w:t>
        <w:t xml:space="preserve">S AMD</w:t>
      </w:r>
      <w:r>
        <w:t xml:space="preserve"> </w:t>
      </w:r>
      <w:r>
        <w:rPr>
          <w:b/>
        </w:rPr>
        <w:t xml:space="preserve">401</w:t>
      </w:r>
    </w:p>
    <w:p>
      <w:pPr>
        <w:spacing w:before="0" w:after="0" w:line="408" w:lineRule="exact"/>
        <w:ind w:left="0" w:right="0" w:firstLine="576"/>
        <w:jc w:val="left"/>
      </w:pPr>
      <w:r>
        <w:rPr/>
        <w:t xml:space="preserve">By Senator Warnick</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and 2017 3rd sp.s. c 1 s 983 are each amended to read as follows:</w:t>
      </w:r>
    </w:p>
    <w:p>
      <w:pPr>
        <w:spacing w:before="0" w:after="0" w:line="408" w:lineRule="exact"/>
        <w:ind w:left="0" w:right="0" w:firstLine="576"/>
        <w:jc w:val="left"/>
      </w:pPr>
      <w:r>
        <w:rPr/>
        <w:t xml:space="preserve">The legislative authority of a county may elect, by giving written notice to the director and the treasurer prior to January 1st of any year, to obtain for the following year an amount in lieu of real property taxes on game lands as provided in RCW 77.12.203. Upon the election, the county shall keep a record of all fines, forfeitures, reimbursements, and costs assessed and collected, in whole or in part, under this title for violations of law or rules adopted pursuant to this title</w:t>
      </w:r>
      <w:r>
        <w:t>((</w:t>
      </w:r>
      <w:r>
        <w:rPr>
          <w:strike/>
        </w:rPr>
        <w:t xml:space="preserve">, with the exception of the 2015-2017 and 2017-2019 fiscal biennia,</w:t>
      </w:r>
      <w:r>
        <w:t>))</w:t>
      </w:r>
      <w:r>
        <w:rPr/>
        <w:t xml:space="preserve"> and shall monthly remit an amount equal to the amount collected to the state treasurer for deposit in the state general fund. The election shall continue until the department is notified differently prior to January 1st of any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2018 c 299 s 913 are each amended to read as follows:</w:t>
      </w:r>
    </w:p>
    <w:p>
      <w:pPr>
        <w:spacing w:before="0" w:after="0" w:line="408" w:lineRule="exact"/>
        <w:ind w:left="0" w:right="0" w:firstLine="576"/>
        <w:jc w:val="left"/>
      </w:pPr>
      <w:r>
        <w:rPr/>
        <w:t xml:space="preserve">(1) </w:t>
      </w:r>
      <w:r>
        <w:t>((</w:t>
      </w:r>
      <w:r>
        <w:rPr>
          <w:strike/>
        </w:rPr>
        <w:t xml:space="preserve">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w:t>
      </w:r>
      <w:r>
        <w:t>))</w:t>
      </w:r>
      <w:r>
        <w:rPr/>
        <w:t xml:space="preserve"> </w:t>
      </w:r>
      <w:r>
        <w:rPr>
          <w:u w:val="single"/>
        </w:rPr>
        <w:t xml:space="preserve">The state treasurer, on behalf of the department, must distribute to counties for eligible game lands, if requested by an election under RCW 77.12.201, an amount in lieu of real property taxes equal to that amount paid on similar parcels of open space land taxable under chapter 84.34 RCW or the greater of seventy cents per acre per year or the amount paid in 1984. The director must pay</w:t>
      </w:r>
      <w:r>
        <w:rPr/>
        <w:t xml:space="preserve"> an additional amount for control of noxious weeds equal to that which would be paid if such lands were privately owned. </w:t>
      </w:r>
      <w:r>
        <w:t>((</w:t>
      </w:r>
      <w:r>
        <w:rPr>
          <w:strike/>
        </w:rPr>
        <w:t xml:space="preserve">This amount may not be assessed or paid on department buildings, structures, facilities, game farms, fish hatcheries, water access sites, tidelands, or public fishing areas.</w:t>
      </w:r>
      <w:r>
        <w:t>))</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w:t>
      </w:r>
      <w:r>
        <w:t>((</w:t>
      </w:r>
      <w:r>
        <w:rPr>
          <w:strike/>
        </w:rPr>
        <w:t xml:space="preserve">2013-2015</w:t>
      </w:r>
      <w:r>
        <w:t>))</w:t>
      </w:r>
      <w:r>
        <w:rPr/>
        <w:t xml:space="preserve"> </w:t>
      </w:r>
      <w:r>
        <w:rPr>
          <w:u w:val="single"/>
        </w:rPr>
        <w:t xml:space="preserve">2019-2021</w:t>
      </w:r>
      <w:r>
        <w:rPr/>
        <w:t xml:space="preserve"> and </w:t>
      </w:r>
      <w:r>
        <w:t>((</w:t>
      </w:r>
      <w:r>
        <w:rPr>
          <w:strike/>
        </w:rPr>
        <w:t xml:space="preserve">2015-2017</w:t>
      </w:r>
      <w:r>
        <w:t>))</w:t>
      </w:r>
      <w:r>
        <w:rPr/>
        <w:t xml:space="preserve"> </w:t>
      </w:r>
      <w:r>
        <w:rPr>
          <w:u w:val="single"/>
        </w:rPr>
        <w:t xml:space="preserve">2021-2023</w:t>
      </w:r>
      <w:r>
        <w:rPr/>
        <w:t xml:space="preserve"> fiscal biennia, the </w:t>
      </w:r>
      <w:r>
        <w:t>((</w:t>
      </w:r>
      <w:r>
        <w:rPr>
          <w:strike/>
        </w:rPr>
        <w:t xml:space="preserve">director</w:t>
      </w:r>
      <w:r>
        <w:t>))</w:t>
      </w:r>
      <w:r>
        <w:rPr/>
        <w:t xml:space="preserve"> </w:t>
      </w:r>
      <w:r>
        <w:rPr>
          <w:u w:val="single"/>
        </w:rPr>
        <w:t xml:space="preserve">state treasurer, on behalf of the department,</w:t>
      </w:r>
      <w:r>
        <w:rPr/>
        <w:t xml:space="preserve">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Adams</w:t>
            </w:r>
            <w:r>
              <w:tab/>
            </w:r>
            <w:r>
              <w:t>((</w:t>
            </w:r>
            <w:r>
              <w:rPr>
                <w:rFonts w:ascii="Times New Roman" w:hAnsi="Times New Roman"/>
                <w:strike/>
                <w:sz w:val="20"/>
              </w:rPr>
              <w:t xml:space="preserve">1,909</w:t>
            </w:r>
            <w:r>
              <w:t>))</w:t>
            </w:r>
            <w:r>
              <w:rPr>
                <w:rFonts w:ascii="Times New Roman" w:hAnsi="Times New Roman"/>
                <w:sz w:val="20"/>
              </w:rPr>
              <w:t xml:space="preserve"> </w:t>
            </w:r>
            <w:r>
              <w:rPr>
                <w:rFonts w:ascii="Times New Roman" w:hAnsi="Times New Roman"/>
                <w:sz w:val="20"/>
                <w:u w:val="single"/>
              </w:rPr>
              <w:t xml:space="preserve">2,634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Asotin</w:t>
            </w:r>
            <w:r>
              <w:tab/>
            </w:r>
            <w:r>
              <w:t>((</w:t>
            </w:r>
            <w:r>
              <w:rPr>
                <w:rFonts w:ascii="Times New Roman" w:hAnsi="Times New Roman"/>
                <w:strike/>
                <w:sz w:val="20"/>
              </w:rPr>
              <w:t xml:space="preserve">36,123</w:t>
            </w:r>
            <w:r>
              <w:t>))</w:t>
            </w:r>
            <w:r>
              <w:rPr>
                <w:rFonts w:ascii="Times New Roman" w:hAnsi="Times New Roman"/>
                <w:sz w:val="20"/>
              </w:rPr>
              <w:t xml:space="preserve"> </w:t>
            </w:r>
            <w:r>
              <w:rPr>
                <w:rFonts w:ascii="Times New Roman" w:hAnsi="Times New Roman"/>
                <w:sz w:val="20"/>
                <w:u w:val="single"/>
              </w:rPr>
              <w:t xml:space="preserve">51,261</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Chelan</w:t>
            </w:r>
            <w:r>
              <w:tab/>
            </w:r>
            <w:r>
              <w:t>((</w:t>
            </w:r>
            <w:r>
              <w:rPr>
                <w:rFonts w:ascii="Times New Roman" w:hAnsi="Times New Roman"/>
                <w:strike/>
                <w:sz w:val="20"/>
              </w:rPr>
              <w:t xml:space="preserve">24,757</w:t>
            </w:r>
            <w:r>
              <w:t>))</w:t>
            </w:r>
            <w:r>
              <w:rPr>
                <w:rFonts w:ascii="Times New Roman" w:hAnsi="Times New Roman"/>
                <w:sz w:val="20"/>
              </w:rPr>
              <w:t xml:space="preserve"> </w:t>
            </w:r>
            <w:r>
              <w:rPr>
                <w:rFonts w:ascii="Times New Roman" w:hAnsi="Times New Roman"/>
                <w:sz w:val="20"/>
                <w:u w:val="single"/>
              </w:rPr>
              <w:t xml:space="preserve">47,276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Columbia</w:t>
            </w:r>
            <w:r>
              <w:tab/>
            </w:r>
            <w:r>
              <w:t>((</w:t>
            </w:r>
            <w:r>
              <w:rPr>
                <w:rFonts w:ascii="Times New Roman" w:hAnsi="Times New Roman"/>
                <w:strike/>
                <w:sz w:val="20"/>
              </w:rPr>
              <w:t xml:space="preserve">7,795</w:t>
            </w:r>
            <w:r>
              <w:t>))</w:t>
            </w:r>
            <w:r>
              <w:rPr>
                <w:rFonts w:ascii="Times New Roman" w:hAnsi="Times New Roman"/>
                <w:sz w:val="20"/>
              </w:rPr>
              <w:t xml:space="preserve"> </w:t>
            </w:r>
            <w:r>
              <w:rPr>
                <w:rFonts w:ascii="Times New Roman" w:hAnsi="Times New Roman"/>
                <w:sz w:val="20"/>
                <w:u w:val="single"/>
              </w:rPr>
              <w:t xml:space="preserve">20,713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Ferry</w:t>
            </w:r>
            <w:r>
              <w:tab/>
            </w:r>
            <w:r>
              <w:t>((</w:t>
            </w:r>
            <w:r>
              <w:rPr>
                <w:rFonts w:ascii="Times New Roman" w:hAnsi="Times New Roman"/>
                <w:strike/>
                <w:sz w:val="20"/>
              </w:rPr>
              <w:t xml:space="preserve">6,781</w:t>
            </w:r>
            <w:r>
              <w:t>))</w:t>
            </w:r>
            <w:r>
              <w:rPr>
                <w:rFonts w:ascii="Times New Roman" w:hAnsi="Times New Roman"/>
                <w:sz w:val="20"/>
              </w:rPr>
              <w:t xml:space="preserve"> </w:t>
            </w:r>
            <w:r>
              <w:rPr>
                <w:rFonts w:ascii="Times New Roman" w:hAnsi="Times New Roman"/>
                <w:sz w:val="20"/>
                <w:u w:val="single"/>
              </w:rPr>
              <w:t xml:space="preserve">22,798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Garfield</w:t>
            </w:r>
            <w:r>
              <w:tab/>
            </w:r>
            <w:r>
              <w:t>((</w:t>
            </w:r>
            <w:r>
              <w:rPr>
                <w:rFonts w:ascii="Times New Roman" w:hAnsi="Times New Roman"/>
                <w:strike/>
                <w:sz w:val="20"/>
              </w:rPr>
              <w:t xml:space="preserve">4,840</w:t>
            </w:r>
            <w:r>
              <w:t>))</w:t>
            </w:r>
            <w:r>
              <w:rPr>
                <w:rFonts w:ascii="Times New Roman" w:hAnsi="Times New Roman"/>
                <w:sz w:val="20"/>
              </w:rPr>
              <w:t xml:space="preserve"> </w:t>
            </w:r>
            <w:r>
              <w:rPr>
                <w:rFonts w:ascii="Times New Roman" w:hAnsi="Times New Roman"/>
                <w:sz w:val="20"/>
                <w:u w:val="single"/>
              </w:rPr>
              <w:t xml:space="preserve">12,744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Grant</w:t>
            </w:r>
            <w:r>
              <w:tab/>
            </w:r>
            <w:r>
              <w:t>((</w:t>
            </w:r>
            <w:r>
              <w:rPr>
                <w:rFonts w:ascii="Times New Roman" w:hAnsi="Times New Roman"/>
                <w:strike/>
                <w:sz w:val="20"/>
              </w:rPr>
              <w:t xml:space="preserve">37,443</w:t>
            </w:r>
            <w:r>
              <w:t>))</w:t>
            </w:r>
            <w:r>
              <w:rPr>
                <w:rFonts w:ascii="Times New Roman" w:hAnsi="Times New Roman"/>
                <w:sz w:val="20"/>
              </w:rPr>
              <w:t xml:space="preserve"> </w:t>
            </w:r>
            <w:r>
              <w:rPr>
                <w:rFonts w:ascii="Times New Roman" w:hAnsi="Times New Roman"/>
                <w:sz w:val="20"/>
                <w:u w:val="single"/>
              </w:rPr>
              <w:t xml:space="preserve">149,612</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Kittitas</w:t>
            </w:r>
            <w:r>
              <w:tab/>
            </w:r>
            <w:r>
              <w:t>((</w:t>
            </w:r>
            <w:r>
              <w:rPr>
                <w:rFonts w:ascii="Times New Roman" w:hAnsi="Times New Roman"/>
                <w:strike/>
                <w:sz w:val="20"/>
              </w:rPr>
              <w:t xml:space="preserve">143,974</w:t>
            </w:r>
            <w:r>
              <w:t>))</w:t>
            </w:r>
            <w:r>
              <w:rPr>
                <w:rFonts w:ascii="Times New Roman" w:hAnsi="Times New Roman"/>
                <w:sz w:val="20"/>
              </w:rPr>
              <w:t xml:space="preserve"> </w:t>
            </w:r>
            <w:r>
              <w:rPr>
                <w:rFonts w:ascii="Times New Roman" w:hAnsi="Times New Roman"/>
                <w:sz w:val="20"/>
                <w:u w:val="single"/>
              </w:rPr>
              <w:t xml:space="preserve">601,690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Klickitat</w:t>
            </w:r>
            <w:r>
              <w:tab/>
            </w:r>
            <w:r>
              <w:t>((</w:t>
            </w:r>
            <w:r>
              <w:rPr>
                <w:rFonts w:ascii="Times New Roman" w:hAnsi="Times New Roman"/>
                <w:strike/>
                <w:sz w:val="20"/>
              </w:rPr>
              <w:t xml:space="preserve">21,906</w:t>
            </w:r>
            <w:r>
              <w:t>))</w:t>
            </w:r>
            <w:r>
              <w:rPr>
                <w:rFonts w:ascii="Times New Roman" w:hAnsi="Times New Roman"/>
                <w:sz w:val="20"/>
              </w:rPr>
              <w:t xml:space="preserve"> </w:t>
            </w:r>
            <w:r>
              <w:rPr>
                <w:rFonts w:ascii="Times New Roman" w:hAnsi="Times New Roman"/>
                <w:sz w:val="20"/>
                <w:u w:val="single"/>
              </w:rPr>
              <w:t xml:space="preserve">139,164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Lincoln</w:t>
            </w:r>
            <w:r>
              <w:tab/>
            </w:r>
            <w:r>
              <w:t>((</w:t>
            </w:r>
            <w:r>
              <w:rPr>
                <w:rFonts w:ascii="Times New Roman" w:hAnsi="Times New Roman"/>
                <w:strike/>
                <w:sz w:val="20"/>
              </w:rPr>
              <w:t xml:space="preserve">13,535</w:t>
            </w:r>
            <w:r>
              <w:t>))</w:t>
            </w:r>
            <w:r>
              <w:rPr>
                <w:rFonts w:ascii="Times New Roman" w:hAnsi="Times New Roman"/>
                <w:sz w:val="20"/>
              </w:rPr>
              <w:t xml:space="preserve"> </w:t>
            </w:r>
            <w:r>
              <w:rPr>
                <w:rFonts w:ascii="Times New Roman" w:hAnsi="Times New Roman"/>
                <w:sz w:val="20"/>
                <w:u w:val="single"/>
              </w:rPr>
              <w:t xml:space="preserve">13,640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Okanogan</w:t>
            </w:r>
            <w:r>
              <w:tab/>
            </w:r>
            <w:r>
              <w:t>((</w:t>
            </w:r>
            <w:r>
              <w:rPr>
                <w:rFonts w:ascii="Times New Roman" w:hAnsi="Times New Roman"/>
                <w:strike/>
                <w:sz w:val="20"/>
              </w:rPr>
              <w:t xml:space="preserve">151,402</w:t>
            </w:r>
            <w:r>
              <w:t>))</w:t>
            </w:r>
            <w:r>
              <w:rPr>
                <w:rFonts w:ascii="Times New Roman" w:hAnsi="Times New Roman"/>
                <w:sz w:val="20"/>
              </w:rPr>
              <w:t xml:space="preserve"> </w:t>
            </w:r>
            <w:r>
              <w:rPr>
                <w:rFonts w:ascii="Times New Roman" w:hAnsi="Times New Roman"/>
                <w:sz w:val="20"/>
                <w:u w:val="single"/>
              </w:rPr>
              <w:t xml:space="preserve">546,534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Pend Oreille</w:t>
            </w:r>
            <w:r>
              <w:tab/>
            </w:r>
            <w:r>
              <w:t>((</w:t>
            </w:r>
            <w:r>
              <w:rPr>
                <w:rFonts w:ascii="Times New Roman" w:hAnsi="Times New Roman"/>
                <w:strike/>
                <w:sz w:val="20"/>
              </w:rPr>
              <w:t xml:space="preserve">3,309</w:t>
            </w:r>
            <w:r>
              <w:t>))</w:t>
            </w:r>
            <w:r>
              <w:rPr>
                <w:rFonts w:ascii="Times New Roman" w:hAnsi="Times New Roman"/>
                <w:sz w:val="20"/>
              </w:rPr>
              <w:t xml:space="preserve"> </w:t>
            </w:r>
            <w:r>
              <w:rPr>
                <w:rFonts w:ascii="Times New Roman" w:hAnsi="Times New Roman"/>
                <w:sz w:val="20"/>
                <w:u w:val="single"/>
              </w:rPr>
              <w:t xml:space="preserve">11,368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Yakima</w:t>
            </w:r>
            <w:r>
              <w:tab/>
            </w:r>
            <w:r>
              <w:t>((</w:t>
            </w:r>
            <w:r>
              <w:rPr>
                <w:rFonts w:ascii="Times New Roman" w:hAnsi="Times New Roman"/>
                <w:strike/>
                <w:sz w:val="20"/>
              </w:rPr>
              <w:t xml:space="preserve">126,225</w:t>
            </w:r>
            <w:r>
              <w:t>))</w:t>
            </w:r>
            <w:r>
              <w:rPr>
                <w:rFonts w:ascii="Times New Roman" w:hAnsi="Times New Roman"/>
                <w:sz w:val="20"/>
              </w:rPr>
              <w:t xml:space="preserve"> </w:t>
            </w:r>
            <w:r>
              <w:rPr>
                <w:rFonts w:ascii="Times New Roman" w:hAnsi="Times New Roman"/>
                <w:sz w:val="20"/>
                <w:u w:val="single"/>
              </w:rPr>
              <w:t xml:space="preserve">377,210</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t>((</w:t>
      </w:r>
      <w:r>
        <w:rPr>
          <w:strike/>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Adams</w:t>
            </w:r>
            <w:r>
              <w:tab/>
            </w:r>
            <w:r>
              <w:rPr>
                <w:rFonts w:ascii="Times New Roman" w:hAnsi="Times New Roman"/>
                <w:strike/>
                <w:sz w:val="20"/>
              </w:rPr>
              <w:t xml:space="preserve"> 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Asotin</w:t>
            </w:r>
            <w:r>
              <w:tab/>
            </w:r>
            <w:r>
              <w:rPr>
                <w:rFonts w:ascii="Times New Roman" w:hAnsi="Times New Roman"/>
                <w:strike/>
                <w:sz w:val="20"/>
              </w:rPr>
              <w:t xml:space="preserve"> 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Chelan</w:t>
            </w:r>
            <w:r>
              <w:tab/>
            </w:r>
            <w:r>
              <w:rPr>
                <w:rFonts w:ascii="Times New Roman" w:hAnsi="Times New Roman"/>
                <w:strike/>
                <w:sz w:val="20"/>
              </w:rPr>
              <w:t xml:space="preserve">39,858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Columbia</w:t>
            </w:r>
            <w:r>
              <w:tab/>
            </w:r>
            <w:r>
              <w:rPr>
                <w:rFonts w:ascii="Times New Roman" w:hAnsi="Times New Roman"/>
                <w:strike/>
                <w:sz w:val="20"/>
              </w:rPr>
              <w:t xml:space="preserve">20,713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Ferry</w:t>
            </w:r>
            <w:r>
              <w:tab/>
            </w:r>
            <w:r>
              <w:rPr>
                <w:rFonts w:ascii="Times New Roman" w:hAnsi="Times New Roman"/>
                <w:strike/>
                <w:sz w:val="20"/>
              </w:rPr>
              <w:t xml:space="preserve">22,798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Garfield</w:t>
            </w:r>
            <w:r>
              <w:tab/>
            </w:r>
            <w:r>
              <w:rPr>
                <w:rFonts w:ascii="Times New Roman" w:hAnsi="Times New Roman"/>
                <w:strike/>
                <w:sz w:val="20"/>
              </w:rPr>
              <w:t xml:space="preserve">12,744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Grant</w:t>
            </w:r>
            <w:r>
              <w:tab/>
            </w:r>
            <w:r>
              <w:rPr>
                <w:rFonts w:ascii="Times New Roman" w:hAnsi="Times New Roman"/>
                <w:strike/>
                <w:sz w:val="20"/>
              </w:rPr>
              <w:t xml:space="preserve">71,930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Kittitas</w:t>
            </w:r>
            <w:r>
              <w:tab/>
            </w:r>
            <w:r>
              <w:rPr>
                <w:rFonts w:ascii="Times New Roman" w:hAnsi="Times New Roman"/>
                <w:strike/>
                <w:sz w:val="20"/>
              </w:rPr>
              <w:t xml:space="preserve">382,638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Klickitat</w:t>
            </w:r>
            <w:r>
              <w:tab/>
            </w:r>
            <w:r>
              <w:rPr>
                <w:rFonts w:ascii="Times New Roman" w:hAnsi="Times New Roman"/>
                <w:strike/>
                <w:sz w:val="20"/>
              </w:rPr>
              <w:t xml:space="preserve">51,019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Lincoln</w:t>
            </w:r>
            <w:r>
              <w:tab/>
            </w:r>
            <w:r>
              <w:rPr>
                <w:rFonts w:ascii="Times New Roman" w:hAnsi="Times New Roman"/>
                <w:strike/>
                <w:sz w:val="20"/>
              </w:rPr>
              <w:t xml:space="preserve"> 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Okanogan</w:t>
            </w:r>
            <w:r>
              <w:tab/>
            </w:r>
            <w:r>
              <w:rPr>
                <w:rFonts w:ascii="Times New Roman" w:hAnsi="Times New Roman"/>
                <w:strike/>
                <w:sz w:val="20"/>
              </w:rPr>
              <w:t xml:space="preserve">264,036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Pend Oreille</w:t>
            </w:r>
            <w:r>
              <w:tab/>
            </w:r>
            <w:r>
              <w:rPr>
                <w:rFonts w:ascii="Times New Roman" w:hAnsi="Times New Roman"/>
                <w:strike/>
                <w:sz w:val="20"/>
              </w:rPr>
              <w:t xml:space="preserve">5,546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Yakima</w:t>
            </w:r>
            <w:r>
              <w:tab/>
            </w:r>
            <w:r>
              <w:rPr>
                <w:rFonts w:ascii="Times New Roman" w:hAnsi="Times New Roman"/>
                <w:strike/>
                <w:sz w:val="20"/>
              </w:rPr>
              <w:t xml:space="preserve">186,056</w:t>
            </w:r>
          </w:p>
        </w:tc>
      </w:tr>
    </w:tbl>
    <w:p>
      <w:pPr>
        <w:spacing w:before="0" w:after="0" w:line="408" w:lineRule="exact"/>
        <w:ind w:left="0" w:right="0" w:firstLine="0"/>
        <w:jc w:val="left"/>
      </w:pPr>
      <w:r>
        <w:rPr>
          <w:strike/>
        </w:rPr>
        <w:t xml:space="preserve">These amounts may not be assessed or paid on department buildings, structures, facilities, game farms, fish hatcheries, water access sites, tidelands, or public fishing areas.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480" w:after="0" w:line="408" w:lineRule="exact"/>
      </w:pPr>
      <w:r>
        <w:rPr>
          <w:b/>
          <w:u w:val="single"/>
        </w:rPr>
        <w:t xml:space="preserve">SSB 5696</w:t>
      </w:r>
      <w:r>
        <w:t xml:space="preserve"> -</w:t>
      </w:r>
      <w:r>
        <w:t xml:space="preserve"> </w:t>
        <w:t xml:space="preserve">S AMD</w:t>
      </w:r>
      <w:r>
        <w:t xml:space="preserve"> </w:t>
      </w:r>
      <w:r>
        <w:rPr>
          <w:b/>
        </w:rPr>
        <w:t xml:space="preserve">401</w:t>
      </w:r>
    </w:p>
    <w:p>
      <w:pPr>
        <w:spacing w:before="0" w:after="0" w:line="408" w:lineRule="exact"/>
        <w:ind w:left="0" w:right="0" w:firstLine="576"/>
        <w:jc w:val="left"/>
      </w:pPr>
      <w:r>
        <w:rPr/>
        <w:t xml:space="preserve">By Senator Warnick</w:t>
      </w:r>
    </w:p>
    <w:p>
      <w:pPr>
        <w:jc w:val="right"/>
      </w:pPr>
      <w:r>
        <w:rPr>
          <w:b/>
        </w:rPr>
        <w:t xml:space="preserve">NOT CONSIDERED 12/23/2019</w:t>
      </w:r>
    </w:p>
    <w:p>
      <w:pPr>
        <w:spacing w:before="0" w:after="0" w:line="408" w:lineRule="exact"/>
        <w:ind w:left="0" w:right="0" w:firstLine="576"/>
        <w:jc w:val="left"/>
      </w:pPr>
      <w:r>
        <w:rPr/>
        <w:t xml:space="preserve">On page 1, line 1 of the title, after "taxes;" strike the remainder of the title and insert "amending RCW 77.12.201 and 77.12.203; providing an effective date; and declaring an emergency."</w:t>
      </w:r>
    </w:p>
    <w:p>
      <w:pPr>
        <w:spacing w:before="0" w:after="0" w:line="408" w:lineRule="exact"/>
        <w:ind w:left="0" w:right="0" w:firstLine="576"/>
        <w:jc w:val="left"/>
      </w:pPr>
      <w:r>
        <w:rPr>
          <w:u w:val="single"/>
        </w:rPr>
        <w:t xml:space="preserve">EFFECT:</w:t>
      </w:r>
      <w:r>
        <w:rPr/>
        <w:t xml:space="preserve"> Modifies the statutory amounts distributed to counties that have elected to receive WDFW PILT payments for the 2019-2021 and 2021-2023 fiscal biennia. Removes the new formula for calculating WDFW PILT payments. Removes the provisions phasing in PILT payments under the new formula for current counties and counties not currently receiving PILT. Retains the requirement that if a county elects to receive PILT, it must remit amounts collected from fish and wildlife violations to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d6e7587e274def" /></Relationships>
</file>