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31da2b60d478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5825-S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S4478.1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5825</w:t>
      </w:r>
      <w:r>
        <w:t xml:space="preserve"> -</w:t>
      </w:r>
      <w:r>
        <w:t xml:space="preserve"> </w:t>
        <w:t xml:space="preserve">S AMD TO S AMD (S-4181.2/19)</w:t>
      </w:r>
      <w:r>
        <w:t xml:space="preserve"> </w:t>
      </w:r>
      <w:r>
        <w:rPr>
          <w:b/>
        </w:rPr>
        <w:t xml:space="preserve">804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ADOPTED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12, after "</w:t>
      </w:r>
      <w:r>
        <w:rPr>
          <w:u w:val="single"/>
        </w:rPr>
        <w:t xml:space="preserve">ride;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15, after "</w:t>
      </w:r>
      <w:r>
        <w:rPr>
          <w:u w:val="single"/>
        </w:rPr>
        <w:t xml:space="preserve">(M00900R)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Up to twenty million dollars to design the Interstate 405/North 8th Street Direct Access Ramp project in the city of Renton. It is the intent of the legislature to provide construction funding for this project at a later date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$20 million for the design phase of the I-405/North 8th Street Direct Access Ramp project as a legislative priority on which I-405 bond proceeds could be spent and specifies intent to fund construction in the future.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d623916c04994" /></Relationships>
</file>