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51da5466f48d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5884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HEWD</w:t>
        </w:r>
      </w:r>
      <w:r>
        <w:rPr>
          <w:b/>
        </w:rPr>
        <w:t xml:space="preserve"> </w:t>
        <w:r>
          <w:rPr/>
          <w:t xml:space="preserve">S2070.1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  <w:r>
        <w:rPr/>
        <w:t xml:space="preserve"> 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5884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Higher Education &amp; Workforce Development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17, after "office" insert "in coordination with the office of the superintendent of public instruction"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22, after "council" insert "in coordination with the office of the superintendent of public instruction"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13, after "council" insert "in coordination with the office of the superintendent of public instruction"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Office of Student Financial Assistance and the Washington Student Achievement Council to coordinate with the Office of the Superintendent of Public Instruction in: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Selecting pilot high schools;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Selecting and administering student supports and interventions;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Studying the effectiveness of the pilot program.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4fd3ae3b74d8e" /></Relationships>
</file>