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98237dd5a45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S4449.1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WITHDRAWN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19, after "chapter" insert ", except as provided under RCW 70.105D.---(7) (section 2(7), chapter . . . (SHB 1290), Laws of 2019)"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Technical amendment. Specifies the deposit of revenue under SHB 1290 in the Model Toxics Control Capital account. SHB 1290 has passed the Legislature.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None.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c3f12d7824763" /></Relationships>
</file>