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a0e76ee08411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5993-S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S4425.1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5993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04/25/2019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37, after "</w:t>
      </w:r>
      <w:r>
        <w:rPr>
          <w:u w:val="single"/>
        </w:rPr>
        <w:t xml:space="preserve">is</w:t>
      </w:r>
      <w:r>
        <w:rPr/>
        <w:t xml:space="preserve">" strike "</w:t>
      </w:r>
      <w:r>
        <w:rPr>
          <w:u w:val="single"/>
        </w:rPr>
        <w:t xml:space="preserve">one dollar and thirty-nine</w:t>
      </w:r>
      <w:r>
        <w:rPr/>
        <w:t xml:space="preserve">" and insert "</w:t>
      </w:r>
      <w:r>
        <w:rPr>
          <w:u w:val="single"/>
        </w:rPr>
        <w:t xml:space="preserve">seventy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25, strike all of subsection (3)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Reduces the volumetric tax rate from $1.39/barrel to $0.70/barrel and removes the implicit price deflator adjustment to the rate.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Reduces revenue by $284 million.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db825b0dd4584" /></Relationships>
</file>