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ef8c1c98b4c7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S6687.2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6128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b/>
        </w:rPr>
        <w:t xml:space="preserve">2.</w:t>
      </w:r>
      <w:r>
        <w:rPr/>
        <w:t xml:space="preserve">" insert "A new section is added to chapter 74.09 RCW to read as follows:"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19, after "2021," strike "to the extent of available funds,"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"section;"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33, after "ends" strike all material through "(5)" on page 3, line 6, and insert ".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9, after "state," strike all material through "and"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"act" insert ", and: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For state fiscal year 2021, have countable income equal to or below one hundred fifty percent of the federal poverty level;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For state fiscal year 2022, have countable income equal to or below one hundred sixty-five percent of the federal poverty level;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For state fiscal year 2023, have countable income equal to or below one hundred eighty percent of the federal poverty level;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Beginning state fiscal year 2024, have countable income equal to or below one hundred ninety-three percent of the federal poverty level"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18, after "the" insert "health care"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requirements that the state-only program be subject to available funds and the services be provided on a fee-for-service basis. Requires the eligibility for the state-only program be phased-in based on federal poverty levels (FPL). For state fiscal year 2021, the individual's FPL must be less than or equal to 150%. For state fiscal year 2022, the individual's FPL must be less than or equal to 165%. For state fiscal year 2023, the individual's FPL must be less than or equal to 180%. Beginning state fiscal year 2024, the individual's FPL must be less than or equal to 193% FPL.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97957b5f44b4a" /></Relationships>
</file>