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0e56db01243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6557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S6652.1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6557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"Sec. 32" insert "</w:t>
      </w:r>
      <w:r>
        <w:rPr>
          <w:u w:val="single"/>
        </w:rPr>
        <w:t xml:space="preserve">for the prior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return</w:t>
      </w:r>
      <w:r>
        <w:rPr/>
        <w:t xml:space="preserve">" strike "</w:t>
      </w:r>
      <w:r>
        <w:rPr>
          <w:u w:val="single"/>
        </w:rPr>
        <w:t xml:space="preserve">in</w:t>
      </w:r>
      <w:r>
        <w:rPr/>
        <w:t xml:space="preserve">" and insert "</w:t>
      </w:r>
      <w:r>
        <w:rPr>
          <w:u w:val="single"/>
        </w:rPr>
        <w:t xml:space="preserve">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prior</w:t>
      </w:r>
      <w:r>
        <w:rPr/>
        <w:t xml:space="preserve">" insert "</w:t>
      </w:r>
      <w:r>
        <w:rPr>
          <w:u w:val="single"/>
        </w:rPr>
        <w:t xml:space="preserve">tax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changes are made to clarify which tax year's return forms the basis for an individual's eligibility for the Working Family Tax Credit.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8197f8444ff9" /></Relationships>
</file>