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b83366a2054dfd" /></Relationships>
</file>

<file path=word/document.xml><?xml version="1.0" encoding="utf-8"?>
<w:document xmlns:w="http://schemas.openxmlformats.org/wordprocessingml/2006/main">
  <w:body>
    <w:p>
      <w:r>
        <w:t>Z-0164.2</w:t>
      </w:r>
    </w:p>
    <w:p>
      <w:pPr>
        <w:jc w:val="center"/>
      </w:pPr>
      <w:r>
        <w:t>_______________________________________________</w:t>
      </w:r>
    </w:p>
    <w:p/>
    <w:p>
      <w:pPr>
        <w:jc w:val="center"/>
      </w:pPr>
      <w:r>
        <w:rPr>
          <w:b/>
        </w:rPr>
        <w:t>HOUSE BILL 1072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Doglio, Gregerson, Valdez, Appleton, Jinkins, Goodman, Bergquist, Stanford, and Ormsby; by request of Attorney General</w:t>
      </w:r>
    </w:p>
    <w:p/>
    <w:p>
      <w:r>
        <w:rPr>
          <w:t xml:space="preserve">Prefiled 01/02/19.</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The doctrine of substantial compliance shall not be used by the department of labor and industries in the application and construction of chapter 39.12 RCW. Anyone engaged in public works construction is presumed to know the requirements of chapter 39.12 RCW.</w:t>
      </w:r>
    </w:p>
    <w:p>
      <w:pPr>
        <w:spacing w:before="0" w:after="0" w:line="408" w:lineRule="exact"/>
        <w:ind w:left="0" w:right="0" w:firstLine="576"/>
        <w:jc w:val="left"/>
      </w:pPr>
      <w:r>
        <w:rPr/>
        <w:t xml:space="preserve">(3)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w:t>
      </w:r>
      <w:r>
        <w:t>((</w:t>
      </w:r>
      <w:r>
        <w:rPr>
          <w:strike/>
        </w:rPr>
        <w:t xml:space="preserve">and</w:t>
      </w:r>
      <w:r>
        <w:t>))</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r>
        <w:rPr>
          <w:u w:val="single"/>
        </w:rPr>
        <w:t xml:space="preserve">; and</w:t>
      </w:r>
    </w:p>
    <w:p>
      <w:pPr>
        <w:spacing w:before="0" w:after="0" w:line="408" w:lineRule="exact"/>
        <w:ind w:left="0" w:right="0" w:firstLine="576"/>
        <w:jc w:val="left"/>
      </w:pPr>
      <w:r>
        <w:rPr>
          <w:u w:val="single"/>
        </w:rPr>
        <w:t xml:space="preserve">(c) The effective annual rate of contributions for all hours, public and private, worked during the year by an employee, commonly referred to as annualization of benefits</w:t>
      </w:r>
      <w:r>
        <w:rPr/>
        <w:t xml:space="preserve">.</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that occurs only once and is made notwithstanding the use of due care by the contractor or employer.</w:t>
      </w:r>
    </w:p>
    <w:p>
      <w:pPr>
        <w:spacing w:before="0" w:after="0" w:line="408" w:lineRule="exact"/>
        <w:ind w:left="0" w:right="0" w:firstLine="576"/>
        <w:jc w:val="left"/>
      </w:pPr>
      <w:r>
        <w:rPr>
          <w:u w:val="single"/>
        </w:rPr>
        <w:t xml:space="preserve">(6) "Unpaid prevailing wages" or "unpaid wages" means the employer fails to pay all compensation owed for any workweek by the regularly established pay day for the period in which the workweek ends. Every employer must pay all wages, other than fringe benefits, owing to its employees not less than twice a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director shall consider whether or not the contractor or employer has attended the required training under RCW 39.04.350 both for determining if the violation may be applied and for enhancing the curriculum of the required training provided by the department. The burden of proving that an error is inadvertent rests with the contractor or employer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a hearing shall be held in accordance with chapter 34.05 RCW. The director shall issue a written determination including his or her findings after the hearing. A judicial appeal from the director's determination may be taken in accordance with chapter 34.05 RCW, with the prevailing party entitled to recover </w:t>
      </w:r>
      <w:r>
        <w:rPr>
          <w:u w:val="single"/>
        </w:rPr>
        <w:t xml:space="preserve">interest on the wages at the highest rate allowed under RCW 19.52.025, and</w:t>
      </w:r>
      <w:r>
        <w:rPr/>
        <w:t xml:space="preserve">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one hundred twenty</w:t>
      </w:r>
      <w:r>
        <w:rPr/>
        <w:t xml:space="preserve"> days from the acceptance date of the public works project.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in pursuit of the recovery of unpaid wages for the worker(s). However, the department may only recover owed wages and may not charge a contractor or subcontractor with a violation of this section if the complaint is filed after the one hundred twenty day limit.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w:t>
      </w:r>
      <w:r>
        <w:t>((</w:t>
      </w:r>
      <w:r>
        <w:rPr>
          <w:strike/>
        </w:rPr>
        <w:t xml:space="preserve">shall</w:t>
      </w:r>
      <w:r>
        <w:t>))</w:t>
      </w:r>
      <w:r>
        <w:rPr/>
        <w:t xml:space="preserve"> </w:t>
      </w:r>
      <w:r>
        <w:rPr>
          <w:u w:val="single"/>
        </w:rPr>
        <w:t xml:space="preserve">does</w:t>
      </w:r>
      <w:r>
        <w:rPr/>
        <w:t xml:space="preserve">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If, after a complaint has been filed, the contractor or subcontractor elects to pay the unpaid wages that precipitated the complaint, interest on the wages at the highest rate allowed under RCW 19.52.025, and penalties in the amount of one thousand dollars or twenty percent of the total prevailing wage violation determined by the department of labor and industries, whichever is greater, is considered resolved without further penalty under subsection (3) of this section.</w:t>
      </w:r>
    </w:p>
    <w:p>
      <w:pPr>
        <w:spacing w:before="0" w:after="0" w:line="408" w:lineRule="exact"/>
        <w:ind w:left="0" w:right="0" w:firstLine="576"/>
        <w:jc w:val="left"/>
      </w:pPr>
      <w:r>
        <w:rPr>
          <w:u w:val="single"/>
        </w:rPr>
        <w:t xml:space="preserve">(5) If a contractor or subcontractor utilizes the process outlined in subsection (4) of this section for a second time within a five-year period, the contractor or subcontractor is subject to the sanctions prescribed in subsection (3) of this section and as an additional sanction,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shall, at least biweekly file a copy of its certified payroll records using the department of labor and industries' online system and/or directly with the awarding agency in a format approved by the department.</w:t>
      </w:r>
    </w:p>
    <w:p>
      <w:pPr>
        <w:spacing w:before="0" w:after="0" w:line="408" w:lineRule="exact"/>
        <w:ind w:left="0" w:right="0" w:firstLine="576"/>
        <w:jc w:val="left"/>
      </w:pPr>
      <w:r>
        <w:rPr/>
        <w:t xml:space="preserve">(3) A contractor's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badf2a5c53f46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1852234664361" /><Relationship Type="http://schemas.openxmlformats.org/officeDocument/2006/relationships/footer" Target="/word/footer1.xml" Id="R7badf2a5c53f4663" /></Relationships>
</file>