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9a071fdb34b2d" /></Relationships>
</file>

<file path=word/document.xml><?xml version="1.0" encoding="utf-8"?>
<w:document xmlns:w="http://schemas.openxmlformats.org/wordprocessingml/2006/main">
  <w:body>
    <w:p>
      <w:r>
        <w:t>H-1732.1</w:t>
      </w:r>
    </w:p>
    <w:p>
      <w:pPr>
        <w:jc w:val="center"/>
      </w:pPr>
      <w:r>
        <w:t>_______________________________________________</w:t>
      </w:r>
    </w:p>
    <w:p/>
    <w:p>
      <w:pPr>
        <w:jc w:val="center"/>
      </w:pPr>
      <w:r>
        <w:rPr>
          <w:b/>
        </w:rPr>
        <w:t>SECOND SUBSTITUTE HOUSE BILL 1087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Jinkins, MacEwen, Cody, Harris, Tharinger, Slatter, Kloba, Ryu, Macri, DeBolt, Bergquist, Doglio, Robinson, Stanford, Stonier, Frame,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and 18.88B.041; reenacting and amending RCW 43.79A.040; adding a new section to chapter 44.28 RCW;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(6) "Employee" has the meaning provided in RCW 50A.04.010.</w:t>
      </w:r>
    </w:p>
    <w:p>
      <w:pPr>
        <w:spacing w:before="0" w:after="0" w:line="408" w:lineRule="exact"/>
        <w:ind w:left="0" w:right="0" w:firstLine="576"/>
        <w:jc w:val="left"/>
      </w:pPr>
      <w:r>
        <w:rPr/>
        <w:t xml:space="preserve">(7) "Employer" has the meaning provided in RCW 50A.04.010.</w:t>
      </w:r>
    </w:p>
    <w:p>
      <w:pPr>
        <w:spacing w:before="0" w:after="0" w:line="408" w:lineRule="exact"/>
        <w:ind w:left="0" w:right="0" w:firstLine="576"/>
        <w:jc w:val="left"/>
      </w:pPr>
      <w:r>
        <w:rPr/>
        <w:t xml:space="preserve">(8) "Employment" has the meaning provided in RCW 50A.04.010.</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duration of payment requirements, as established in this chapter.</w:t>
      </w:r>
    </w:p>
    <w:p>
      <w:pPr>
        <w:spacing w:before="0" w:after="0" w:line="408" w:lineRule="exact"/>
        <w:ind w:left="0" w:right="0" w:firstLine="576"/>
        <w:jc w:val="left"/>
      </w:pPr>
      <w:r>
        <w:rPr/>
        <w:t xml:space="preserve">(14)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in coordination with the same activities conducted under the family and medical leave act, chapter 50A.04 RCW, to the extent possible;</w:t>
      </w:r>
    </w:p>
    <w:p>
      <w:pPr>
        <w:spacing w:before="0" w:after="0" w:line="408" w:lineRule="exact"/>
        <w:ind w:left="0" w:right="0" w:firstLine="576"/>
        <w:jc w:val="left"/>
      </w:pPr>
      <w:r>
        <w:rPr/>
        <w:t xml:space="preserve">(d) Make determinations regarding an individual's status as a qualified individual under section 5 of this act;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8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8 of this act.</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The annual adjustment of the benefit unit in accordance with the formula established in section 2 of this act;</w:t>
      </w:r>
    </w:p>
    <w:p>
      <w:pPr>
        <w:spacing w:before="0" w:after="0" w:line="408" w:lineRule="exact"/>
        <w:ind w:left="0" w:right="0" w:firstLine="576"/>
        <w:jc w:val="left"/>
      </w:pPr>
      <w:r>
        <w:rPr/>
        <w:t xml:space="preserve">(f) The preparation of regular actuarial reports on the solvency and financial status of the program and advising the legislature on actions necessary to maintain trust solvency; and</w:t>
      </w:r>
    </w:p>
    <w:p>
      <w:pPr>
        <w:spacing w:before="0" w:after="0" w:line="408" w:lineRule="exact"/>
        <w:ind w:left="0" w:right="0" w:firstLine="576"/>
        <w:jc w:val="left"/>
      </w:pPr>
      <w:r>
        <w:rPr/>
        <w:t xml:space="preserve">(g)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deem a person to be a qualified individual as provided in this chapter if the person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two hundred eight hours during each of the ten years in subsection (1)(a) of this section and each of the three years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approved services and benefits that are payable to a registered long-term services and supports provider on behalf of a qualified individual under this section if the qualified individual has been determined by the department of social and health services to require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8 of this act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have the state investment board invest the funds in the account. The state investment board has the full power to invest, reinvest, manage, contract, sell, or exchange investment money in the account.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other than the investment policies as provided in subsections (1) through (3) of this section, resides with the department of social and health services acting in accordance with the principles set forth in this chapter. With the exception of expenses of the state investment board under subsection (1) of this section, disbursements from the account shall be made only on the authorization of the department of social and health services or its designee, and moneys in the account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department of social and health services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for a state-federal program, or for any other means-tested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1, 2032, the joint legislative audit and review committee must report on the performance of the long-term services and supports trust commission established in section 4 of this act in providing oversight to the long-term services and supports trust program and make recommendations to the legislature on ways to improve the functioning, efficiency, and membership, as well as whether the long-term services and supports trust commission should continue to exist or should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21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21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long-term services and supports trust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b950dc2d2c06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bf6ccd2fe4382" /><Relationship Type="http://schemas.openxmlformats.org/officeDocument/2006/relationships/footer" Target="/word/footer1.xml" Id="Rb950dc2d2c0644e5" /></Relationships>
</file>