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c14e1a7df409b" /></Relationships>
</file>

<file path=word/document.xml><?xml version="1.0" encoding="utf-8"?>
<w:document xmlns:w="http://schemas.openxmlformats.org/wordprocessingml/2006/main">
  <w:body>
    <w:p>
      <w:r>
        <w:t>H-0169.1</w:t>
      </w:r>
    </w:p>
    <w:p>
      <w:pPr>
        <w:jc w:val="center"/>
      </w:pPr>
      <w:r>
        <w:t>_______________________________________________</w:t>
      </w:r>
    </w:p>
    <w:p/>
    <w:p>
      <w:pPr>
        <w:jc w:val="center"/>
      </w:pPr>
      <w:r>
        <w:rPr>
          <w:b/>
        </w:rPr>
        <w:t>HOUSE BILL 1118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Vick, Chapman, Jenkin, and Blake</w:t>
      </w:r>
    </w:p>
    <w:p/>
    <w:p>
      <w:r>
        <w:rPr>
          <w:t xml:space="preserve">Prefiled 01/11/19.</w:t>
        </w:rPr>
      </w:r>
      <w:r>
        <w:rPr>
          <w:t xml:space="preserve">Read first time 01/14/19.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beer and wine license holders to sell small amounts of spirits; and amending RCW 66.24.630 and 66.24.035.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w:t>
      </w:r>
      <w:r>
        <w:rPr>
          <w:u w:val="single"/>
        </w:rPr>
        <w:t xml:space="preserve">and (d)</w:t>
      </w:r>
      <w:r>
        <w:rPr/>
        <w:t xml:space="preserve">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w:t>
      </w:r>
      <w:r>
        <w:t>((</w:t>
      </w:r>
      <w:r>
        <w:rPr>
          <w:strike/>
        </w:rPr>
        <w:t xml:space="preserve">at its contract location</w:t>
      </w:r>
      <w:r>
        <w:t>))</w:t>
      </w:r>
      <w:r>
        <w:rPr/>
        <w:t xml:space="preserve">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w:t>
      </w:r>
      <w:r>
        <w:rPr>
          <w:u w:val="single"/>
        </w:rPr>
        <w:t xml:space="preserve">Upon reasonable approval by the board, grocery store license holders who do not hold a spirits retail license under this section may sell spirits that are in their original containers and are no more than three hundred seventy-five milliliters in volume. Spirits sold under this subsection must be kept behind a counter where the public is not permitted or kept in a locked display case so that a customer wanting access must ask an employee of the license holder for assistance. Each grocery store license holder making sales of spirits as authorized by this subsection must pay to the board, for deposit into the liquor revolving fund, a fee equivalent to seventeen percent of all spirits sales revenues, exclusive of taxes collected by the licensee. The board must establish rules setting forth the timing of such payments and reporting of sales dollar volume by the licensee, with payments required quarterly in arrears.</w:t>
      </w:r>
    </w:p>
    <w:p>
      <w:pPr>
        <w:spacing w:before="0" w:after="0" w:line="408" w:lineRule="exact"/>
        <w:ind w:left="0" w:right="0" w:firstLine="576"/>
        <w:jc w:val="left"/>
      </w:pPr>
      <w:r>
        <w:rPr>
          <w:u w:val="single"/>
        </w:rPr>
        <w:t xml:space="preserve">(e)</w:t>
      </w:r>
      <w:r>
        <w:rPr/>
        <w:t xml:space="preserve">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w:t>
      </w:r>
      <w:r>
        <w:t>((</w:t>
      </w:r>
      <w:r>
        <w:rPr>
          <w:strike/>
        </w:rPr>
        <w:t xml:space="preserve">The first payment is due October 1, 2012.</w:t>
      </w:r>
      <w:r>
        <w:t>))</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035</w:t>
      </w:r>
      <w:r>
        <w:rPr/>
        <w:t xml:space="preserve"> and 2017 c 96 s 1 are each amended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former contract liquor store;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
      <w:pPr>
        <w:jc w:val="center"/>
      </w:pPr>
      <w:r>
        <w:rPr>
          <w:b/>
        </w:rPr>
        <w:t>--- END ---</w:t>
      </w:r>
    </w:p>
    <w:sectPr>
      <w:pgNumType w:start="1"/>
      <w:footerReference xmlns:r="http://schemas.openxmlformats.org/officeDocument/2006/relationships" r:id="R4e45f625b86945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d24c508b54d72" /><Relationship Type="http://schemas.openxmlformats.org/officeDocument/2006/relationships/footer" Target="/word/footer1.xml" Id="R4e45f625b86945ed" /></Relationships>
</file>