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fbde26dc04076" /></Relationships>
</file>

<file path=word/document.xml><?xml version="1.0" encoding="utf-8"?>
<w:document xmlns:w="http://schemas.openxmlformats.org/wordprocessingml/2006/main">
  <w:body>
    <w:p>
      <w:r>
        <w:t>H-2181.1</w:t>
      </w:r>
    </w:p>
    <w:p>
      <w:pPr>
        <w:jc w:val="center"/>
      </w:pPr>
      <w:r>
        <w:t>_______________________________________________</w:t>
      </w:r>
    </w:p>
    <w:p/>
    <w:p>
      <w:pPr>
        <w:jc w:val="center"/>
      </w:pPr>
      <w:r>
        <w:rPr>
          <w:b/>
        </w:rPr>
        <w:t>SECOND SUBSTITUTE HOUSE BILL 1139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Santos, Dolan, Callan, Pollet, Reeves, and Bergquist)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28A.180.120, 28A.660.020, 28A.660.035, 28B.10.033, 28B.76.699,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adding a new section to chapter 28A.400; creating new sections; recodifying RCW 28A.630.205, 28A.660.042, and 28A.660.045; repealing RCW 28B.102.010, 28B.102.040, 28B.102.050, 28B.102.060, 28A.660.050, and 28A.660.055; repealing 2016 c 233 s 19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Washington professional educator standards board must administer the regional educator recruitment program. In administering the program and providing any associated grants, the Washington professional educator standards board must prioritize grants to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subsections (2) and (3) of this section. The educational service districts in the program must collaborate with the Washington professional educator standards board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Washington professional educator standards board,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subsection (2) of this section,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eight thousand dollars of financial assistance to thirty teacher candidates in the 2019-20 school year and to forty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220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(1) The Washington professional educator standards board, in consultation with the office of the superintendent of public instruction staff authorized to issue educator reprimands, shall adopt rules that, at a minimum:</w:t>
      </w:r>
    </w:p>
    <w:p>
      <w:pPr>
        <w:spacing w:before="0" w:after="0" w:line="408" w:lineRule="exact"/>
        <w:ind w:left="0" w:right="0" w:firstLine="576"/>
        <w:jc w:val="left"/>
      </w:pPr>
      <w:r>
        <w:rPr/>
        <w:t xml:space="preserve">(a) Establish a process for an educator to apply for review of a reprimand, issued in accordance with RCW 28A.410.090, that occurred no more than five years prior to the application date;</w:t>
      </w:r>
    </w:p>
    <w:p>
      <w:pPr>
        <w:spacing w:before="0" w:after="0" w:line="408" w:lineRule="exact"/>
        <w:ind w:left="0" w:right="0" w:firstLine="576"/>
        <w:jc w:val="left"/>
      </w:pPr>
      <w:r>
        <w:rPr/>
        <w:t xml:space="preserve">(b)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(c) Define criteria for determining whether a reprimand should be expunged; and</w:t>
      </w:r>
    </w:p>
    <w:p>
      <w:pPr>
        <w:spacing w:before="0" w:after="0" w:line="408" w:lineRule="exact"/>
        <w:ind w:left="0" w:right="0" w:firstLine="576"/>
        <w:jc w:val="left"/>
      </w:pPr>
      <w:r>
        <w:rPr/>
        <w:t xml:space="preserve">(d) Establish a process for expungement of a reprimand from records maintained by the Washington professional educator standards board or the office of the superintendent of public instruction.</w:t>
      </w:r>
    </w:p>
    <w:p>
      <w:pPr>
        <w:spacing w:before="0" w:after="0" w:line="408" w:lineRule="exact"/>
        <w:ind w:left="0" w:right="0" w:firstLine="576"/>
        <w:jc w:val="left"/>
      </w:pPr>
      <w:r>
        <w:rPr/>
        <w:t xml:space="preserve">(2) The authority authorized to grant educator certificates shall use the processes and criteria adopted in accordance with subsection (1) of this section to approve or deny reprimand expungement applications and to expunge educator reprimand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REPRIMAND EXPUNGEMENT REPORT.</w:t>
      </w:r>
      <w:r>
        <w:t xml:space="preserve">  </w:t>
      </w:r>
      <w:r>
        <w:rPr/>
        <w:t xml:space="preserve">By December 1, 2020, and in compliance with RCW 43.01.036, the office of the superintendent of public instruction and the Washington professional educator standards board must cooperate to submit a report to the appropriate committees of the legislature that: Summarizes data on the number of reprimand expungement applications reviewed and approved in the prior two years; makes a recommendation on whether the reprimand expungement process under section 308 of this act should be expanded to persons with lapsed certificates; and recommends changes to the statutory requirements of the reprimand expungement process.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7eea1ac46f2e4b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f5f14f28341a5" /><Relationship Type="http://schemas.openxmlformats.org/officeDocument/2006/relationships/footer" Target="/word/footer1.xml" Id="R7eea1ac46f2e4bd7" /></Relationships>
</file>