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08245b9e554a54" /></Relationships>
</file>

<file path=word/document.xml><?xml version="1.0" encoding="utf-8"?>
<w:document xmlns:w="http://schemas.openxmlformats.org/wordprocessingml/2006/main">
  <w:body>
    <w:p>
      <w:r>
        <w:t>H-1654.3</w:t>
      </w:r>
    </w:p>
    <w:p>
      <w:pPr>
        <w:jc w:val="center"/>
      </w:pPr>
      <w:r>
        <w:t>_______________________________________________</w:t>
      </w:r>
    </w:p>
    <w:p/>
    <w:p>
      <w:pPr>
        <w:jc w:val="center"/>
      </w:pPr>
      <w:r>
        <w:rPr>
          <w:b/>
        </w:rPr>
        <w:t>SUBSTITUTE HOUSE BILL 1179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 Tarleton; by request of Uniform Law Commission)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has the meaning given in RCW 19.240.010.</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 and</w:t>
      </w:r>
    </w:p>
    <w:p>
      <w:pPr>
        <w:spacing w:before="0" w:after="0" w:line="408" w:lineRule="exact"/>
        <w:ind w:left="0" w:right="0" w:firstLine="576"/>
        <w:jc w:val="left"/>
      </w:pPr>
      <w:r>
        <w:rPr/>
        <w:t xml:space="preserve">(v)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fifteen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three years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thirty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seventy and one-half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ninety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thirty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or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ninety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fifty dollars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fifty dollars each. If the report includes items in the aggregate valued under fifty dollars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twelve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five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one hundred eighty days nor less than sixty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seventy-five dollars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thirty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seventy-five dollars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twelve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twelve-month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twelve-month period;</w:t>
      </w:r>
    </w:p>
    <w:p>
      <w:pPr>
        <w:spacing w:before="0" w:after="0" w:line="408" w:lineRule="exact"/>
        <w:ind w:left="0" w:right="0" w:firstLine="576"/>
        <w:jc w:val="left"/>
      </w:pPr>
      <w:r>
        <w:rPr/>
        <w:t xml:space="preserve">(iii) The internet web address of the unclaimed property web 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 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 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 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one hundred eighty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ninety days after a claim is filed under subsection (1) or (4) of this section, the administrator shall allow or deny the claim and give the claimant notice of the decision in a record. If the administrator does not take action on a claim during the ninety 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set in RCW 82.32.050(2). Interest begins to accrue when the property is delivered to the administrator and ends on the earlier of the expiration of ten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thirty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five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ten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not earlier than three years after receipt of property presumed abandoned, the administrator may sell the property.</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three years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seven hundred fifty thousand dollars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treasurer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ninety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ninety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ninety-day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thirty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thirty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thirty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sixty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ten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one thousand dollars for each day from the date the report was made until corrected, up to a cumulative maximum amount of twenty-five thousand dollars, plus twenty-five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one thousand dollars for each day the obligation is evaded or the duty not performed, up to a cumulative maximum amount of twenty-five thousand dollars, plus twenty-five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thirty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twenty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ninety-day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twenty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thirty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thirty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twenty-four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 site or in the database required by section 503(3)(b) of this act the name of each apparent owner of property held by the administrator. The administrator may include in published notices, printed publications, telecommunications, the internet, or other media and on the web 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five-year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4e776f156773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eaa80f6864b1e" /><Relationship Type="http://schemas.openxmlformats.org/officeDocument/2006/relationships/footer" Target="/word/footer1.xml" Id="R4e776f1567734826" /></Relationships>
</file>