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93be9348d433e" /></Relationships>
</file>

<file path=word/document.xml><?xml version="1.0" encoding="utf-8"?>
<w:document xmlns:w="http://schemas.openxmlformats.org/wordprocessingml/2006/main">
  <w:body>
    <w:p>
      <w:r>
        <w:t>H-2104.1</w:t>
      </w:r>
    </w:p>
    <w:p>
      <w:pPr>
        <w:jc w:val="center"/>
      </w:pPr>
      <w:r>
        <w:t>_______________________________________________</w:t>
      </w:r>
    </w:p>
    <w:p/>
    <w:p>
      <w:pPr>
        <w:jc w:val="center"/>
      </w:pPr>
      <w:r>
        <w:rPr>
          <w:b/>
        </w:rPr>
        <w:t>SECOND SUBSTITUTE HOUSE BILL 1205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Peterson, Orwall, Doglio, Senn, Mead, Gregerson, Fitzgibbon, Dolan, Ortiz-Self, Lovick, Frame, Slatter, Walen, Macri, Goodman, and Tarleton)</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plastic bags by establishing minimum state standards for the use of bags at retail establishments; amending RCW 43.21B.110;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2019,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the use of recycled content bags;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"Compostable" means that a product that is capable of being completely broken down in a timely manner, consistent with the standard specification as established in section 3(6) of this act, into a material safe and desirable as a soil amendment.</w:t>
      </w:r>
    </w:p>
    <w:p>
      <w:pPr>
        <w:spacing w:before="0" w:after="0" w:line="408" w:lineRule="exact"/>
        <w:ind w:left="0" w:right="0" w:firstLine="576"/>
        <w:jc w:val="left"/>
      </w:pPr>
      <w:r>
        <w:rPr/>
        <w:t xml:space="preserve">(3) "Compostable film bag" means a compostable bag that is designed and suitable only to be used once and disposed of or composted.</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(6)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(7)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(8)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(9) "Single-use plastic carryout bag" means any bag that is made from plastic that is designed and suitable only to be used once and disposed.</w:t>
      </w:r>
    </w:p>
    <w:p>
      <w:pPr>
        <w:spacing w:before="0" w:after="0" w:line="408" w:lineRule="exact"/>
        <w:ind w:left="0" w:right="0" w:firstLine="576"/>
        <w:jc w:val="left"/>
      </w:pPr>
      <w:r>
        <w:rPr/>
        <w:t xml:space="preserve">(10) "Standard specification" means the entire American society for testing and materials (ASTM) specification and associated test methods that must be met for: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not less than ten cents for every recycled content paper carryout bag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any receipts provided to customers.</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be tinted green or brown, and be labeled "compostable," as required under subsection (6)(c)(i) of this section.</w:t>
      </w:r>
    </w:p>
    <w:p>
      <w:pPr>
        <w:spacing w:before="0" w:after="0" w:line="408" w:lineRule="exact"/>
        <w:ind w:left="0" w:right="0" w:firstLine="576"/>
        <w:jc w:val="left"/>
      </w:pPr>
      <w:r>
        <w:rPr/>
        <w:t xml:space="preserve">(b) A retail establishment may not use or provide polyethylene or other noncompostable plastic bags:</w:t>
      </w:r>
    </w:p>
    <w:p>
      <w:pPr>
        <w:spacing w:before="0" w:after="0" w:line="408" w:lineRule="exact"/>
        <w:ind w:left="0" w:right="0" w:firstLine="576"/>
        <w:jc w:val="left"/>
      </w:pPr>
      <w:r>
        <w:rPr/>
        <w:t xml:space="preserve">(i) That are tinted green or brown for bagging of customer products in stores, as carryout bags, or for home delivery;</w:t>
      </w:r>
    </w:p>
    <w:p>
      <w:pPr>
        <w:spacing w:before="0" w:after="0" w:line="408" w:lineRule="exact"/>
        <w:ind w:left="0" w:right="0" w:firstLine="576"/>
        <w:jc w:val="left"/>
      </w:pPr>
      <w:r>
        <w:rPr/>
        <w:t xml:space="preserve">(ii) To customers to bag products in stores, as a carryout bag, or for home delivery that is labeled with the term "biodegradable," "compostable," "degradable," "decomposable," "oxo-degradable," or any similar terms, or in any way imply that the plastic bag will break down, fragment, biodegrade, or decompose in a landfill or other environment.</w:t>
      </w:r>
    </w:p>
    <w:p>
      <w:pPr>
        <w:spacing w:before="0" w:after="0" w:line="408" w:lineRule="exact"/>
        <w:ind w:left="0" w:right="0" w:firstLine="576"/>
        <w:jc w:val="left"/>
      </w:pPr>
      <w:r>
        <w:rPr/>
        <w:t xml:space="preserve">(5) Except as provided by local regulations in effect as of January 1, 2019, a retail establishment may provide a bag restricted under subsections (1) and (4)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ASTM D6868, as it existed as of January 1, 2019;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forty percent postconsumer recycled material;</w:t>
      </w:r>
    </w:p>
    <w:p>
      <w:pPr>
        <w:spacing w:before="0" w:after="0" w:line="408" w:lineRule="exact"/>
        <w:ind w:left="0" w:right="0" w:firstLine="576"/>
        <w:jc w:val="left"/>
      </w:pPr>
      <w:r>
        <w:rPr/>
        <w:t xml:space="preserve">(B) Display the minimum percentage of postconsumer content in print on the exterior of the plastic bag;</w:t>
      </w:r>
    </w:p>
    <w:p>
      <w:pPr>
        <w:spacing w:before="0" w:after="0" w:line="408" w:lineRule="exact"/>
        <w:ind w:left="0" w:right="0" w:firstLine="576"/>
        <w:jc w:val="left"/>
      </w:pPr>
      <w:r>
        <w:rPr/>
        <w:t xml:space="preserve">(C) Have a minimum thickness of no less than three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A compostable film bag must:</w:t>
      </w:r>
    </w:p>
    <w:p>
      <w:pPr>
        <w:spacing w:before="0" w:after="0" w:line="408" w:lineRule="exact"/>
        <w:ind w:left="0" w:right="0" w:firstLine="576"/>
        <w:jc w:val="left"/>
      </w:pPr>
      <w:r>
        <w:rPr/>
        <w:t xml:space="preserve">(i) Be labeled as "compostable" consistent with green guides published by the United States federal trade commission (16 C.F.R. part 260, as published October 11, 2012) or similar formal guidance issued by the federal trade commission regarding misleading environmental claims; and</w:t>
      </w:r>
    </w:p>
    <w:p>
      <w:pPr>
        <w:spacing w:before="0" w:after="0" w:line="408" w:lineRule="exact"/>
        <w:ind w:left="0" w:right="0" w:firstLine="576"/>
        <w:jc w:val="left"/>
      </w:pPr>
      <w:r>
        <w:rPr/>
        <w:t xml:space="preserve">(ii) Meet the standard specification established in ASTM D6400, as it existed as of January 1, 2019.</w:t>
      </w:r>
    </w:p>
    <w:p>
      <w:pPr>
        <w:spacing w:before="0" w:after="0" w:line="408" w:lineRule="exact"/>
        <w:ind w:left="0" w:right="0" w:firstLine="576"/>
        <w:jc w:val="left"/>
      </w:pPr>
      <w:r>
        <w:rPr/>
        <w:t xml:space="preserve">(d)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enforcement of this chapter must be based primarily on complaints filed with the department. The department may include a form on the department's web site or establish a telephone hotline to receive complaints that allege violations. The department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(3) The department may work with retail establishments, retail associations, unions, and other organizations to create educational elements about the benefits of reusable bags. Educational elements may include signage at store locations, informational literature, and employee training.</w:t>
      </w:r>
    </w:p>
    <w:p>
      <w:pPr>
        <w:spacing w:before="0" w:after="0" w:line="408" w:lineRule="exact"/>
        <w:ind w:left="0" w:right="0" w:firstLine="576"/>
        <w:jc w:val="left"/>
      </w:pPr>
      <w:r>
        <w:rPr/>
        <w:t xml:space="preserve">(4) Retail establishments are encouraged to educate their staff to promote reusable bags as the best option for carry-out bags and to post signs encouraging customers to use reusable bags.</w:t>
      </w:r>
    </w:p>
    <w:p>
      <w:pPr>
        <w:spacing w:before="0" w:after="0" w:line="408" w:lineRule="exact"/>
        <w:ind w:left="0" w:right="0" w:firstLine="576"/>
        <w:jc w:val="left"/>
      </w:pPr>
      <w:r>
        <w:rPr/>
        <w:t xml:space="preserve">(5)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Any carryout bag ordinance that was not in effect as of January 1, 2019, is preempted by this chapter, as of the effective date of this section.</w:t>
      </w:r>
    </w:p>
    <w:p>
      <w:pPr>
        <w:spacing w:before="0" w:after="0" w:line="408" w:lineRule="exact"/>
        <w:ind w:left="0" w:right="0" w:firstLine="576"/>
        <w:jc w:val="left"/>
      </w:pPr>
      <w:r>
        <w:rPr/>
        <w:t xml:space="preserve">(2)(a) A city, town, county, or municipal corporation may, by ordinance, increase the amount of the minimum pass-through charge established in section 3(2)(b) of this act.</w:t>
      </w:r>
    </w:p>
    <w:p>
      <w:pPr>
        <w:spacing w:before="0" w:after="0" w:line="408" w:lineRule="exact"/>
        <w:ind w:left="0" w:right="0" w:firstLine="576"/>
        <w:jc w:val="left"/>
      </w:pPr>
      <w:r>
        <w:rPr/>
        <w:t xml:space="preserve">(b) A city, town, county, or municipal corporation ordinance in effect as of January 1, 2019, is not preempted until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July 1, 2019, from the waste reduction, recycling, and litter control account for purposes of implementing the education and outreach activities required under section 5 of this act,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7ce6cee786a549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f7b8af08a4ce7" /><Relationship Type="http://schemas.openxmlformats.org/officeDocument/2006/relationships/footer" Target="/word/footer1.xml" Id="R7ce6cee786a549b5" /></Relationships>
</file>