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16b3c0ac641f5" /></Relationships>
</file>

<file path=word/document.xml><?xml version="1.0" encoding="utf-8"?>
<w:document xmlns:w="http://schemas.openxmlformats.org/wordprocessingml/2006/main">
  <w:body>
    <w:p>
      <w:r>
        <w:t>H-0591.1</w:t>
      </w:r>
    </w:p>
    <w:p>
      <w:pPr>
        <w:jc w:val="center"/>
      </w:pPr>
      <w:r>
        <w:t>_______________________________________________</w:t>
      </w:r>
    </w:p>
    <w:p/>
    <w:p>
      <w:pPr>
        <w:jc w:val="center"/>
      </w:pPr>
      <w:r>
        <w:rPr>
          <w:b/>
        </w:rPr>
        <w:t>HOUSE BILL 1229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Kilduff, Klippert, Pettigrew, Appleton, and Santos</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photographs, microphotographs, and electronic images from traffic safety cameras and toll systems; and amending RCW 46.63.170 and 46.63.160.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w:t>
      </w:r>
      <w:r>
        <w:t>((</w:t>
      </w:r>
      <w:r>
        <w:rPr>
          <w:strike/>
        </w:rPr>
        <w:t xml:space="preserve">Notwithstanding any other provision of law,</w:t>
      </w:r>
      <w:r>
        <w:t>))</w:t>
      </w:r>
      <w:r>
        <w:rPr/>
        <w:t xml:space="preserve"> </w:t>
      </w:r>
      <w:r>
        <w:rPr>
          <w:u w:val="single"/>
        </w:rPr>
        <w:t xml:space="preserve">A</w:t>
      </w:r>
      <w:r>
        <w:rPr/>
        <w:t xml:space="preserve">ll photographs, microphotographs, or electronic images prepared under this section are for the exclusive use of law enforcement in the discharge of duties under this section </w:t>
      </w:r>
      <w:r>
        <w:t>((</w:t>
      </w:r>
      <w:r>
        <w:rPr>
          <w:strike/>
        </w:rPr>
        <w:t xml:space="preserve">and</w:t>
      </w:r>
      <w:r>
        <w:t>))</w:t>
      </w:r>
      <w:r>
        <w:rPr/>
        <w:t xml:space="preserve"> </w:t>
      </w:r>
      <w:r>
        <w:rPr>
          <w:u w:val="single"/>
        </w:rPr>
        <w:t xml:space="preserve">or are available for the investigation and prosecution of crimes pursuant to a lawfully issued search warrant. All such photographs, microphotographs, and electronic images</w:t>
      </w:r>
      <w:r>
        <w:rPr/>
        <w:t xml:space="preserve"> are not open to the public </w:t>
      </w:r>
      <w:r>
        <w:t>((</w:t>
      </w:r>
      <w:r>
        <w:rPr>
          <w:strike/>
        </w:rPr>
        <w:t xml:space="preserve">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r>
        <w:t>))</w:t>
      </w:r>
      <w:r>
        <w:rPr/>
        <w:t xml:space="preserve">.</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w:t>
      </w:r>
      <w:r>
        <w:t>((</w:t>
      </w:r>
      <w:r>
        <w:rPr>
          <w:strike/>
        </w:rPr>
        <w:t xml:space="preserve">Notwithstanding any other provision of law,</w:t>
      </w:r>
      <w:r>
        <w:t>))</w:t>
      </w:r>
      <w:r>
        <w:rPr/>
        <w:t xml:space="preserve"> </w:t>
      </w:r>
      <w:r>
        <w:rPr>
          <w:u w:val="single"/>
        </w:rPr>
        <w:t xml:space="preserve">A</w:t>
      </w:r>
      <w:r>
        <w:rPr/>
        <w:t xml:space="preserve">ll photographs, digital photographs, microphotographs, videotape, other recorded images, or other records identifying a specific instance of travel prepared under this section are for the exclusive use of the tolling agency for toll collection and enforcement purposes </w:t>
      </w:r>
      <w:r>
        <w:t>((</w:t>
      </w:r>
      <w:r>
        <w:rPr>
          <w:strike/>
        </w:rPr>
        <w:t xml:space="preserve">and</w:t>
      </w:r>
      <w:r>
        <w:t>))</w:t>
      </w:r>
      <w:r>
        <w:rPr/>
        <w:t xml:space="preserve"> </w:t>
      </w:r>
      <w:r>
        <w:rPr>
          <w:u w:val="single"/>
        </w:rPr>
        <w:t xml:space="preserve">or are available for the investigation and prosecution of crimes pursuant to a lawfully issued search warrant. All such photographs, digital photographs, microphotographs, videotapes, recorded images, and other records</w:t>
      </w:r>
      <w:r>
        <w:rPr/>
        <w:t xml:space="preserve"> are not open to the public </w:t>
      </w:r>
      <w:r>
        <w:t>((</w:t>
      </w:r>
      <w:r>
        <w:rPr>
          <w:strike/>
        </w:rPr>
        <w:t xml:space="preserve">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w:t>
      </w:r>
      <w:r>
        <w:t>))</w:t>
      </w:r>
      <w:r>
        <w:rPr/>
        <w:t xml:space="preserve">.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rPr/>
        <w:t xml:space="preserve">(f)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rPr/>
        <w:t xml:space="preserve">(g)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 site, and accommodate access to the web 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
      <w:pPr>
        <w:jc w:val="center"/>
      </w:pPr>
      <w:r>
        <w:rPr>
          <w:b/>
        </w:rPr>
        <w:t>--- END ---</w:t>
      </w:r>
    </w:p>
    <w:sectPr>
      <w:pgNumType w:start="1"/>
      <w:footerReference xmlns:r="http://schemas.openxmlformats.org/officeDocument/2006/relationships" r:id="R11f1fcbee63240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cdd4351e34ec2" /><Relationship Type="http://schemas.openxmlformats.org/officeDocument/2006/relationships/footer" Target="/word/footer1.xml" Id="R11f1fcbee6324020" /></Relationships>
</file>