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aec1ad7634ead" /></Relationships>
</file>

<file path=word/document.xml><?xml version="1.0" encoding="utf-8"?>
<w:document xmlns:w="http://schemas.openxmlformats.org/wordprocessingml/2006/main">
  <w:body>
    <w:p>
      <w:r>
        <w:t>Z-0279.2</w:t>
      </w:r>
    </w:p>
    <w:p>
      <w:pPr>
        <w:jc w:val="center"/>
      </w:pPr>
      <w:r>
        <w:t>_______________________________________________</w:t>
      </w:r>
    </w:p>
    <w:p/>
    <w:p>
      <w:pPr>
        <w:jc w:val="center"/>
      </w:pPr>
      <w:r>
        <w:rPr>
          <w:b/>
        </w:rPr>
        <w:t>HOUSE BILL 1259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Harris, Tharinger, Robinson, Kilduff, Appleton, and Wylie; by request of Uniform Law Commission</w:t>
      </w:r>
    </w:p>
    <w:p/>
    <w:p>
      <w:r>
        <w:rPr>
          <w:t xml:space="preserve">Read first time 01/17/19.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guardianship, conservatorship, and other protective arrangements act; adding a new chapter to Title 11 RCW; repealing RCW 11.88.005, 11.88.008, 11.88.010, 11.88.020, 11.88.030, 11.88.040, 11.88.045, 11.88.080, 11.88.090, 11.88.093, 11.88.095, 11.88.097, 11.88.100, 11.88.105, 11.88.107, 11.88.110, 11.88.120, 11.88.125, 11.88.127, 11.88.130, 11.88.140, 11.88.150, 11.88.160, 11.88.170, 11.88.900, 11.92.010, 11.92.035, 11.92.040, 11.92.043, 11.92.050, 11.92.053, 11.92.056, 11.92.060, 11.92.090, 11.92.096, 11.92.100, 11.92.110, 11.92.115, 11.92.120, 11.92.125, 11.92.130, 11.92.140, 11.92.150, 11.92.160, 11.92.170, 11.92.180, 11.92.185, 11.92.190, and 11.92.195;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"Asset protection arrangement"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(5) "Claim" includes a claim against an individual or conservatorship estate, whether arising in contract, tort, or otherwise.</w:t>
      </w:r>
    </w:p>
    <w:p>
      <w:pPr>
        <w:spacing w:before="0" w:after="0" w:line="408" w:lineRule="exact"/>
        <w:ind w:left="0" w:right="0" w:firstLine="576"/>
        <w:jc w:val="left"/>
      </w:pPr>
      <w:r>
        <w:rPr/>
        <w:t xml:space="preserve">(6) "Commissioner" means the person appointed by the court pursuant to section 512 of this act.</w:t>
      </w:r>
    </w:p>
    <w:p>
      <w:pPr>
        <w:spacing w:before="0" w:after="0" w:line="408" w:lineRule="exact"/>
        <w:ind w:left="0" w:right="0" w:firstLine="576"/>
        <w:jc w:val="left"/>
      </w:pPr>
      <w:r>
        <w:rPr/>
        <w:t xml:space="preserve">(7)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(8) "Conservatorship estate" means the property subject to conservatorship under this chapter.</w:t>
      </w:r>
    </w:p>
    <w:p>
      <w:pPr>
        <w:spacing w:before="0" w:after="0" w:line="408" w:lineRule="exact"/>
        <w:ind w:left="0" w:right="0" w:firstLine="576"/>
        <w:jc w:val="left"/>
      </w:pPr>
      <w:r>
        <w:rPr/>
        <w:t xml:space="preserve">(9) "Evaluation and treatment facility" has the same meaning as provided in RCW 71.05.020.</w:t>
      </w:r>
    </w:p>
    <w:p>
      <w:pPr>
        <w:spacing w:before="0" w:after="0" w:line="408" w:lineRule="exact"/>
        <w:ind w:left="0" w:right="0" w:firstLine="576"/>
        <w:jc w:val="left"/>
      </w:pPr>
      <w:r>
        <w:rPr/>
        <w:t xml:space="preserve">(10) "Full conservatorship" means a conservatorship that grants the conservator all powers available under this chapter.</w:t>
      </w:r>
    </w:p>
    <w:p>
      <w:pPr>
        <w:spacing w:before="0" w:after="0" w:line="408" w:lineRule="exact"/>
        <w:ind w:left="0" w:right="0" w:firstLine="576"/>
        <w:jc w:val="left"/>
      </w:pPr>
      <w:r>
        <w:rPr/>
        <w:t xml:space="preserve">(11) "Full guardianship" means a guardianship that grants the guardian all powers available under this chapter.</w:t>
      </w:r>
    </w:p>
    <w:p>
      <w:pPr>
        <w:spacing w:before="0" w:after="0" w:line="408" w:lineRule="exact"/>
        <w:ind w:left="0" w:right="0" w:firstLine="576"/>
        <w:jc w:val="left"/>
      </w:pPr>
      <w:r>
        <w:rPr/>
        <w:t xml:space="preserve">(12)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(13) "Guardian ad litem" means a person appointed to inform the court about, and to represent, the needs and best interests of an individual.</w:t>
      </w:r>
    </w:p>
    <w:p>
      <w:pPr>
        <w:spacing w:before="0" w:after="0" w:line="408" w:lineRule="exact"/>
        <w:ind w:left="0" w:right="0" w:firstLine="576"/>
        <w:jc w:val="left"/>
      </w:pPr>
      <w:r>
        <w:rPr/>
        <w:t xml:space="preserve">(14) "Individual subject to conservatorship" means an adult or minor for whom a conservator has been appointed under this chapter.</w:t>
      </w:r>
    </w:p>
    <w:p>
      <w:pPr>
        <w:spacing w:before="0" w:after="0" w:line="408" w:lineRule="exact"/>
        <w:ind w:left="0" w:right="0" w:firstLine="576"/>
        <w:jc w:val="left"/>
      </w:pPr>
      <w:r>
        <w:rPr/>
        <w:t xml:space="preserve">(15) "Individual subject to guardianship" means an adult or minor for whom a guardian has been appointed under this chapter.</w:t>
      </w:r>
    </w:p>
    <w:p>
      <w:pPr>
        <w:spacing w:before="0" w:after="0" w:line="408" w:lineRule="exact"/>
        <w:ind w:left="0" w:right="0" w:firstLine="576"/>
        <w:jc w:val="left"/>
      </w:pPr>
      <w:r>
        <w:rPr/>
        <w:t xml:space="preserve">(16)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(17) "Letters of office" means a record issued by a court certifying a guardian's or conservator's authority to act.</w:t>
      </w:r>
    </w:p>
    <w:p>
      <w:pPr>
        <w:spacing w:before="0" w:after="0" w:line="408" w:lineRule="exact"/>
        <w:ind w:left="0" w:right="0" w:firstLine="576"/>
        <w:jc w:val="left"/>
      </w:pPr>
      <w:r>
        <w:rPr/>
        <w:t xml:space="preserve">(18)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(19)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(20) "Long-term care facility" has the same meaning as provided in RCW 70.129.010.</w:t>
      </w:r>
    </w:p>
    <w:p>
      <w:pPr>
        <w:spacing w:before="0" w:after="0" w:line="408" w:lineRule="exact"/>
        <w:ind w:left="0" w:right="0" w:firstLine="576"/>
        <w:jc w:val="left"/>
      </w:pPr>
      <w:r>
        <w:rPr/>
        <w:t xml:space="preserve">(21) "Minor" means an unemancipated individual under eighteen years of age.</w:t>
      </w:r>
    </w:p>
    <w:p>
      <w:pPr>
        <w:spacing w:before="0" w:after="0" w:line="408" w:lineRule="exact"/>
        <w:ind w:left="0" w:right="0" w:firstLine="576"/>
        <w:jc w:val="left"/>
      </w:pPr>
      <w:r>
        <w:rPr/>
        <w:t xml:space="preserve">(22) "Minor subject to conservatorship" means a minor for whom a conservator has been appointed under this chapter.</w:t>
      </w:r>
    </w:p>
    <w:p>
      <w:pPr>
        <w:spacing w:before="0" w:after="0" w:line="408" w:lineRule="exact"/>
        <w:ind w:left="0" w:right="0" w:firstLine="576"/>
        <w:jc w:val="left"/>
      </w:pPr>
      <w:r>
        <w:rPr/>
        <w:t xml:space="preserve">(23) "Minor subject to guardianship" means a minor for whom a guardian has been appointed under this chapter.</w:t>
      </w:r>
    </w:p>
    <w:p>
      <w:pPr>
        <w:spacing w:before="0" w:after="0" w:line="408" w:lineRule="exact"/>
        <w:ind w:left="0" w:right="0" w:firstLine="576"/>
        <w:jc w:val="left"/>
      </w:pPr>
      <w:r>
        <w:rPr/>
        <w:t xml:space="preserve">(24) "Parent" does not include an individual whose parental rights have been terminated.</w:t>
      </w:r>
    </w:p>
    <w:p>
      <w:pPr>
        <w:spacing w:before="0" w:after="0" w:line="408" w:lineRule="exact"/>
        <w:ind w:left="0" w:right="0" w:firstLine="576"/>
        <w:jc w:val="left"/>
      </w:pPr>
      <w:r>
        <w:rPr/>
        <w:t xml:space="preserve">(25)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(26) "Professional guardian or conservator" means a guardian or conservator appointed under this chapter who is not a member of the family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(27) "Property" includes tangible and intangible property.</w:t>
      </w:r>
    </w:p>
    <w:p>
      <w:pPr>
        <w:spacing w:before="0" w:after="0" w:line="408" w:lineRule="exact"/>
        <w:ind w:left="0" w:right="0" w:firstLine="576"/>
        <w:jc w:val="left"/>
      </w:pPr>
      <w:r>
        <w:rPr/>
        <w:t xml:space="preserve">(28) "Protective arrangement instead of conservatorship" means a court order entered under section 503 of this act.</w:t>
      </w:r>
    </w:p>
    <w:p>
      <w:pPr>
        <w:spacing w:before="0" w:after="0" w:line="408" w:lineRule="exact"/>
        <w:ind w:left="0" w:right="0" w:firstLine="576"/>
        <w:jc w:val="left"/>
      </w:pPr>
      <w:r>
        <w:rPr/>
        <w:t xml:space="preserve">(29) "Protective arrangement instead of guardianship" means a court order entered under section 502 of this act.</w:t>
      </w:r>
    </w:p>
    <w:p>
      <w:pPr>
        <w:spacing w:before="0" w:after="0" w:line="408" w:lineRule="exact"/>
        <w:ind w:left="0" w:right="0" w:firstLine="576"/>
        <w:jc w:val="left"/>
      </w:pPr>
      <w:r>
        <w:rPr/>
        <w:t xml:space="preserve">(30) "Protective arrangement under article 5 of this chapter" means a court order entered under section 502 or 503 of this act.</w:t>
      </w:r>
    </w:p>
    <w:p>
      <w:pPr>
        <w:spacing w:before="0" w:after="0" w:line="408" w:lineRule="exact"/>
        <w:ind w:left="0" w:right="0" w:firstLine="576"/>
        <w:jc w:val="left"/>
      </w:pPr>
      <w:r>
        <w:rPr/>
        <w:t xml:space="preserve">(31)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(33)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(34) "Standby guardian" means a person appointed by the court under section 208 of this act.</w:t>
      </w:r>
    </w:p>
    <w:p>
      <w:pPr>
        <w:spacing w:before="0" w:after="0" w:line="408" w:lineRule="exact"/>
        <w:ind w:left="0" w:right="0" w:firstLine="576"/>
        <w:jc w:val="left"/>
      </w:pPr>
      <w:r>
        <w:rPr/>
        <w:t xml:space="preserve">(35)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(36)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(37)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asset protection arrangement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 or</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eighteen years, or any parent under the age of eighteen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the completion of the required training video or web cast by a date no later than ninety days after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(4)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(5)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(6)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consider:</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316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notice and hearing on a petition under subsection (1) of this section, the court may give an instruction and issue an appropriate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316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316 of this act or the conservator's plan under section 419 of this act;</w:t>
      </w:r>
    </w:p>
    <w:p>
      <w:pPr>
        <w:spacing w:before="0" w:after="0" w:line="408" w:lineRule="exact"/>
        <w:ind w:left="0" w:right="0" w:firstLine="576"/>
        <w:jc w:val="left"/>
      </w:pPr>
      <w:r>
        <w:rPr/>
        <w:t xml:space="preserve">(c) Monitoring the agent's performance and compliance with the</w:t>
      </w:r>
    </w:p>
    <w:p>
      <w:pPr>
        <w:spacing w:before="0" w:after="0" w:line="408" w:lineRule="exact"/>
        <w:ind w:left="0" w:right="0" w:firstLine="0"/>
        <w:jc w:val="left"/>
      </w:pPr>
      <w:r>
        <w:rPr/>
        <w:t xml:space="preserve">delegation; and</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asset protection arrangement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review the grievance and, if necessary to determine the appropriate response, court records related to the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318 of this act;</w:t>
      </w:r>
    </w:p>
    <w:p>
      <w:pPr>
        <w:spacing w:before="0" w:after="0" w:line="408" w:lineRule="exact"/>
        <w:ind w:left="0" w:right="0" w:firstLine="576"/>
        <w:jc w:val="left"/>
      </w:pPr>
      <w:r>
        <w:rPr/>
        <w:t xml:space="preserve">(ii) Termination or modification of the guardianship may be appropriate under section 319 of this act;</w:t>
      </w:r>
    </w:p>
    <w:p>
      <w:pPr>
        <w:spacing w:before="0" w:after="0" w:line="408" w:lineRule="exact"/>
        <w:ind w:left="0" w:right="0" w:firstLine="576"/>
        <w:jc w:val="left"/>
      </w:pPr>
      <w:r>
        <w:rPr/>
        <w:t xml:space="preserve">(iii) Removal of the conservator and appointment of a successor may be appropriate under section 430 of this act; or</w:t>
      </w:r>
    </w:p>
    <w:p>
      <w:pPr>
        <w:spacing w:before="0" w:after="0" w:line="408" w:lineRule="exact"/>
        <w:ind w:left="0" w:right="0" w:firstLine="576"/>
        <w:jc w:val="left"/>
      </w:pPr>
      <w:r>
        <w:rPr/>
        <w:t xml:space="preserve">(iv) Termination or modification of the conservatorship may be appropriate under section 431 of this act;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w:t>
      </w:r>
    </w:p>
    <w:p>
      <w:pPr>
        <w:spacing w:before="0" w:after="0" w:line="408" w:lineRule="exact"/>
        <w:ind w:left="0" w:right="0" w:firstLine="576"/>
        <w:jc w:val="left"/>
      </w:pPr>
      <w:r>
        <w:rPr/>
        <w:t xml:space="preserve">(4) In any court action under this section that involves a professional guardian, the court must direct the clerk of the court to send a copy of the order entered under this section to the certified professional guardianship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nine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family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shall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best interest.</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shall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require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consistently and repeatedly refused to attend the hearing after being fully informed of the right to attend and, if the minor is twelve years of age or older, the potential consequences of failing to do so;</w:t>
      </w:r>
    </w:p>
    <w:p>
      <w:pPr>
        <w:spacing w:before="0" w:after="0" w:line="408" w:lineRule="exact"/>
        <w:ind w:left="0" w:right="0" w:firstLine="576"/>
        <w:jc w:val="left"/>
      </w:pPr>
      <w:r>
        <w:rPr/>
        <w:t xml:space="preserve">(b) There is no practicable way for the minor to attend the hearing;</w:t>
      </w:r>
    </w:p>
    <w:p>
      <w:pPr>
        <w:spacing w:before="0" w:after="0" w:line="408" w:lineRule="exact"/>
        <w:ind w:left="0" w:right="0" w:firstLine="576"/>
        <w:jc w:val="left"/>
      </w:pPr>
      <w:r>
        <w:rPr/>
        <w:t xml:space="preserve">(c) The minor lacks the ability or maturity to participate meaningfully in the hearing; or</w:t>
      </w:r>
    </w:p>
    <w:p>
      <w:pPr>
        <w:spacing w:before="0" w:after="0" w:line="408" w:lineRule="exact"/>
        <w:ind w:left="0" w:right="0" w:firstLine="576"/>
        <w:jc w:val="left"/>
      </w:pPr>
      <w:r>
        <w:rPr/>
        <w:t xml:space="preserve">(d)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or make a payment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 Unless the respondent in a proceeding for appointment of a guardian for an adult is represented by an attorney, the court shall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316 of this act and report under section 317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family member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315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316 of this act and the guardian's report under section 317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316(1) of this act;</w:t>
      </w:r>
    </w:p>
    <w:p>
      <w:pPr>
        <w:spacing w:before="0" w:after="0" w:line="408" w:lineRule="exact"/>
        <w:ind w:left="0" w:right="0" w:firstLine="576"/>
        <w:jc w:val="left"/>
      </w:pPr>
      <w:r>
        <w:rPr/>
        <w:t xml:space="preserve">(c) The date by which the court will review the guardian's plan as required by section 316(4) of this act;</w:t>
      </w:r>
    </w:p>
    <w:p>
      <w:pPr>
        <w:spacing w:before="0" w:after="0" w:line="408" w:lineRule="exact"/>
        <w:ind w:left="0" w:right="0" w:firstLine="576"/>
        <w:jc w:val="left"/>
      </w:pPr>
      <w:r>
        <w:rPr/>
        <w:t xml:space="preserve">(d) The report interval which the guardian shall file its guardian's plan under section 317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317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317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316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family or preexisting social relationship with the adult; or</w:t>
      </w:r>
    </w:p>
    <w:p>
      <w:pPr>
        <w:spacing w:before="0" w:after="0" w:line="408" w:lineRule="exact"/>
        <w:ind w:left="0" w:right="0" w:firstLine="576"/>
        <w:jc w:val="left"/>
      </w:pPr>
      <w:r>
        <w:rPr/>
        <w:t xml:space="preserve">(B) For a period of not more than sixty days if the person does not have a family or preexisting social relationship with the adult;</w:t>
      </w:r>
    </w:p>
    <w:p>
      <w:pPr>
        <w:spacing w:before="0" w:after="0" w:line="408" w:lineRule="exact"/>
        <w:ind w:left="0" w:right="0" w:firstLine="576"/>
        <w:jc w:val="left"/>
      </w:pPr>
      <w:r>
        <w:rPr/>
        <w:t xml:space="preserve">(g) Receive a copy of the guardian's plan under section 316 of this act and the guardian's report under section 317 of this act; and</w:t>
      </w:r>
    </w:p>
    <w:p>
      <w:pPr>
        <w:spacing w:before="0" w:after="0" w:line="408" w:lineRule="exact"/>
        <w:ind w:left="0" w:right="0" w:firstLine="576"/>
        <w:jc w:val="left"/>
      </w:pPr>
      <w:r>
        <w:rPr/>
        <w:t xml:space="preserve">(h) Object to the guardian's plan or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313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313(5)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313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316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316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A guardian for an adult may not restrict the ability of the adult to communicate, visit, or interact with others, including receiving visitors and making or receiving telephone calls, personal mail, or electronic communications, including through social media, or participating in social activities, unless:</w:t>
      </w:r>
    </w:p>
    <w:p>
      <w:pPr>
        <w:spacing w:before="0" w:after="0" w:line="408" w:lineRule="exact"/>
        <w:ind w:left="0" w:right="0" w:firstLine="576"/>
        <w:jc w:val="left"/>
      </w:pPr>
      <w:r>
        <w:rPr/>
        <w:t xml:space="preserve">(a) Authorized by the court by specific order;</w:t>
      </w:r>
    </w:p>
    <w:p>
      <w:pPr>
        <w:spacing w:before="0" w:after="0" w:line="408" w:lineRule="exact"/>
        <w:ind w:left="0" w:right="0" w:firstLine="576"/>
        <w:jc w:val="left"/>
      </w:pPr>
      <w:r>
        <w:rPr/>
        <w:t xml:space="preserve">(b) A protective order or a protective arrangement instead of guardianship is in effect that limits contact between the adult and a person; or</w:t>
      </w:r>
    </w:p>
    <w:p>
      <w:pPr>
        <w:spacing w:before="0" w:after="0" w:line="408" w:lineRule="exact"/>
        <w:ind w:left="0" w:right="0" w:firstLine="576"/>
        <w:jc w:val="left"/>
      </w:pPr>
      <w:r>
        <w:rPr/>
        <w:t xml:space="preserve">(c)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(i) For a period of not more than seven business days if the person has a family or preexisting social relationship with the adult; or</w:t>
      </w:r>
    </w:p>
    <w:p>
      <w:pPr>
        <w:spacing w:before="0" w:after="0" w:line="408" w:lineRule="exact"/>
        <w:ind w:left="0" w:right="0" w:firstLine="576"/>
        <w:jc w:val="left"/>
      </w:pPr>
      <w:r>
        <w:rPr/>
        <w:t xml:space="preserve">(ii) For a period of not more than sixty days if the person does not have a family or preexisting social relationship with the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313 and 314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316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316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318 and 319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may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thirty days after appointing a successor guardian, the court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commissioner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asset protection arrangement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for appointment of a conservator is represented by an attorney, the court shall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shall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family member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an asset protection arrangement.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ASSET PROTECTION ARRANGEMENT.</w:t>
      </w:r>
      <w:r>
        <w:t xml:space="preserve">  </w:t>
      </w:r>
      <w:r>
        <w:rPr/>
        <w:t xml:space="preserve">(1) Except as otherwise provided in subsections (3) and (4) of this section, the court shall require a conservator to furnish a bond with a surety the court specifies, or require an alternative asset protection arrangement, conditioned on faithful discharge of all duties of the conservator. The court may waive the requirement only if the court finds that a bond or other asset protection arrangement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an asset protection arrangement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asset protection arrangement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asset protection arrangement(s);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thirty days after appointing a successor conservator, the court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313 and 314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under this article is represented by an attorney, the court shall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shall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COMMISSIONER.</w:t>
      </w:r>
      <w:r>
        <w:t xml:space="preserve">  </w:t>
      </w:r>
      <w:r>
        <w:rPr/>
        <w:t xml:space="preserve">The court may appoint a commissioner to assist in implementing a protective arrangement under this article. The commissioner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314(5)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family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 and</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606, 702 through 704, and 707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2f2c83535fdc4b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f8c4b09424e05" /><Relationship Type="http://schemas.openxmlformats.org/officeDocument/2006/relationships/footer" Target="/word/footer1.xml" Id="R2f2c83535fdc4bfe" /></Relationships>
</file>