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ac74c48054f17" /></Relationships>
</file>

<file path=word/document.xml><?xml version="1.0" encoding="utf-8"?>
<w:document xmlns:w="http://schemas.openxmlformats.org/wordprocessingml/2006/main">
  <w:body>
    <w:p>
      <w:r>
        <w:t>H-0768.1</w:t>
      </w:r>
    </w:p>
    <w:p>
      <w:pPr>
        <w:jc w:val="center"/>
      </w:pPr>
      <w:r>
        <w:t>_______________________________________________</w:t>
      </w:r>
    </w:p>
    <w:p/>
    <w:p>
      <w:pPr>
        <w:jc w:val="center"/>
      </w:pPr>
      <w:r>
        <w:rPr>
          <w:b/>
        </w:rPr>
        <w:t>HOUSE BILL 1306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Barkis, Chapman, Appleton, Walen, Springer, Pollet, Ryu, Macri, Stokesbary, Tharinger, Volz, and Goodman</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and amending RCW 64.90.410, 64.90.670, 64.90.010, 64.90.025, 64.90.075, 64.90.080, 64.90.090, 64.90.225, 64.90.245, 64.90.285, 64.90.405, 64.90.445, 64.90.485, 64.90.610, 64.06.005, 6.13.080, and 64.55.005.</w:t>
      </w:r>
    </w:p>
    <w:p>
      <w:r>
        <w:t/>
      </w:r>
    </w:p>
    <w:p>
      <w:r>
        <w:t>BE IT ENACTED BY THE LEGISLATURE OF THE STATE OF WASHINGTON:</w:t>
      </w:r>
    </w:p>
    <w:p>
      <w:pPr>
        <w:spacing w:before="240" w:after="0" w:line="408" w:lineRule="exact"/>
        <w:ind w:left="0" w:right="0" w:firstLine="576"/>
        <w:jc w:val="center"/>
      </w:pPr>
      <w:r>
        <w:rPr>
          <w:b/>
        </w:rPr>
        <w:t xml:space="preserve">PART I </w:t>
      </w:r>
      <w:r>
        <w:rPr>
          <w:rFonts w:ascii="Times New Roman" w:hAnsi="Times New Roman"/>
          <w:b/>
        </w:rPr>
        <w:t xml:space="preserve">—</w:t>
      </w:r>
      <w:r>
        <w:rPr>
          <w:b/>
        </w:rPr>
        <w:t xml:space="preserve"> CONDOMINIUM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2018 c 277 s 303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w:t>
      </w:r>
      <w:r>
        <w:t>((</w:t>
      </w:r>
      <w:r>
        <w:rPr>
          <w:strike/>
        </w:rPr>
        <w:t xml:space="preserve">and</w:t>
      </w:r>
      <w:r>
        <w:t>))</w:t>
      </w:r>
      <w:r>
        <w:rPr/>
        <w:t xml:space="preserve"> are subject to the conflict of interest rules governing directors and officers, </w:t>
      </w:r>
      <w:r>
        <w:rPr>
          <w:u w:val="single"/>
        </w:rPr>
        <w:t xml:space="preserve">and are entitled to the immunities from liability available to officers and directors</w:t>
      </w:r>
      <w:r>
        <w:rPr/>
        <w:t xml:space="preserve"> under chapter 24.06 RCW. The standards of care and loyalty</w:t>
      </w:r>
      <w:r>
        <w:rPr>
          <w:u w:val="single"/>
        </w:rPr>
        <w:t xml:space="preserve">, and conflict of interest rules and immunities</w:t>
      </w:r>
      <w:r>
        <w:rPr/>
        <w:t xml:space="preserve">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64.90.300(5),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2018 c 277 s 415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w:t>
      </w:r>
      <w:r>
        <w:t>((</w:t>
      </w:r>
      <w:r>
        <w:rPr>
          <w:strike/>
        </w:rPr>
        <w:t xml:space="preserve">sound</w:t>
      </w:r>
      <w:r>
        <w:t>))</w:t>
      </w:r>
      <w:r>
        <w:rPr/>
        <w:t xml:space="preserve"> engineering and construction standards</w:t>
      </w:r>
      <w:r>
        <w:rPr>
          <w:u w:val="single"/>
        </w:rPr>
        <w:t xml:space="preserve">, including applicable building codes, generally accepted in the state of Washington at the time of construction</w:t>
      </w:r>
      <w:r>
        <w:rPr/>
        <w:t xml:space="preserve">; </w:t>
      </w:r>
      <w:r>
        <w:rPr>
          <w:u w:val="single"/>
        </w:rPr>
        <w:t xml:space="preserve">and</w:t>
      </w:r>
    </w:p>
    <w:p>
      <w:pPr>
        <w:spacing w:before="0" w:after="0" w:line="408" w:lineRule="exact"/>
        <w:ind w:left="0" w:right="0" w:firstLine="576"/>
        <w:jc w:val="left"/>
      </w:pPr>
      <w:r>
        <w:rPr/>
        <w:t xml:space="preserve">(c) Constructed in a workmanlike manner</w:t>
      </w:r>
      <w:r>
        <w:t>((</w:t>
      </w:r>
      <w:r>
        <w:rPr>
          <w:strike/>
        </w:rPr>
        <w:t xml:space="preserve">; and</w:t>
      </w:r>
    </w:p>
    <w:p>
      <w:pPr>
        <w:spacing w:before="0" w:after="0" w:line="408" w:lineRule="exact"/>
        <w:ind w:left="0" w:right="0" w:firstLine="576"/>
        <w:jc w:val="left"/>
      </w:pPr>
      <w:r>
        <w:rPr>
          <w:strike/>
        </w:rPr>
        <w:t xml:space="preserve">(d) Constructed in compliance with all laws then applicable to such improvements</w:t>
      </w:r>
      <w:r>
        <w:t>))</w:t>
      </w:r>
      <w:r>
        <w:rPr/>
        <w:t xml:space="preserve">.</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w:t>
      </w:r>
      <w:r>
        <w:t>((</w:t>
      </w:r>
      <w:r>
        <w:rPr>
          <w:strike/>
        </w:rPr>
        <w:t xml:space="preserve">plaintiff</w:t>
      </w:r>
      <w:r>
        <w:t>))</w:t>
      </w:r>
      <w:r>
        <w:rPr/>
        <w:t xml:space="preserve"> </w:t>
      </w:r>
      <w:r>
        <w:rPr>
          <w:u w:val="single"/>
        </w:rPr>
        <w:t xml:space="preserve">purchaser</w:t>
      </w:r>
      <w:r>
        <w:rPr/>
        <w:t xml:space="preserve"> must show that the alleged breach has adversely affected or will adversely affect the performance of that portion of the unit or common elements alleged to be in breach. </w:t>
      </w:r>
      <w:r>
        <w:rPr>
          <w:u w:val="single"/>
        </w:rPr>
        <w:t xml:space="preserve">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w:t>
      </w:r>
      <w:r>
        <w:t>((</w:t>
      </w:r>
      <w:r>
        <w:rPr>
          <w:strike/>
        </w:rPr>
        <w:t xml:space="preserve">As used in this subsection, an adverse effect must be more than technical and must be significant to a reasonable person.</w:t>
      </w:r>
      <w:r>
        <w:t>))</w:t>
      </w:r>
      <w:r>
        <w:rPr/>
        <w:t xml:space="preserve"> To establish an adverse effect </w:t>
      </w:r>
      <w:r>
        <w:rPr>
          <w:u w:val="single"/>
        </w:rPr>
        <w:t xml:space="preserve">on performance</w:t>
      </w:r>
      <w:r>
        <w:rPr/>
        <w:t xml:space="preserve">, the </w:t>
      </w:r>
      <w:r>
        <w:t>((</w:t>
      </w:r>
      <w:r>
        <w:rPr>
          <w:strike/>
        </w:rPr>
        <w:t xml:space="preserve">person alleging the breach</w:t>
      </w:r>
      <w:r>
        <w:t>))</w:t>
      </w:r>
      <w:r>
        <w:rPr/>
        <w:t xml:space="preserve"> </w:t>
      </w:r>
      <w:r>
        <w:rPr>
          <w:u w:val="single"/>
        </w:rPr>
        <w:t xml:space="preserve">purchaser</w:t>
      </w:r>
      <w:r>
        <w:rPr/>
        <w:t xml:space="preserve"> is </w:t>
      </w:r>
      <w:r>
        <w:t>((</w:t>
      </w:r>
      <w:r>
        <w:rPr>
          <w:strike/>
        </w:rPr>
        <w:t xml:space="preserve">not</w:t>
      </w:r>
      <w:r>
        <w:t>))</w:t>
      </w:r>
      <w:r>
        <w:rPr/>
        <w:t xml:space="preserve"> required to prove that the </w:t>
      </w:r>
      <w:r>
        <w:rPr>
          <w:u w:val="single"/>
        </w:rPr>
        <w:t xml:space="preserve">alleged</w:t>
      </w:r>
      <w:r>
        <w:rPr/>
        <w:t xml:space="preserve"> breach </w:t>
      </w:r>
      <w:r>
        <w:t>((</w:t>
      </w:r>
      <w:r>
        <w:rPr>
          <w:strike/>
        </w:rPr>
        <w:t xml:space="preserve">renders the unit or common element uninhabitable or unfit for its intended purpose</w:t>
      </w:r>
      <w:r>
        <w:t>))</w:t>
      </w:r>
      <w:r>
        <w:rPr>
          <w:u w:val="single"/>
        </w:rPr>
        <w:t xml:space="preserve">:</w:t>
      </w:r>
    </w:p>
    <w:p>
      <w:pPr>
        <w:spacing w:before="0" w:after="0" w:line="408" w:lineRule="exact"/>
        <w:ind w:left="0" w:right="0" w:firstLine="576"/>
        <w:jc w:val="left"/>
      </w:pPr>
      <w:r>
        <w:rPr>
          <w:u w:val="single"/>
        </w:rPr>
        <w:t xml:space="preserve">(i) Is more than technical;</w:t>
      </w:r>
    </w:p>
    <w:p>
      <w:pPr>
        <w:spacing w:before="0" w:after="0" w:line="408" w:lineRule="exact"/>
        <w:ind w:left="0" w:right="0" w:firstLine="576"/>
        <w:jc w:val="left"/>
      </w:pPr>
      <w:r>
        <w:rPr>
          <w:u w:val="single"/>
        </w:rPr>
        <w:t xml:space="preserve">(ii) Is significant to a reasonable person; and</w:t>
      </w:r>
    </w:p>
    <w:p>
      <w:pPr>
        <w:spacing w:before="0" w:after="0" w:line="408" w:lineRule="exact"/>
        <w:ind w:left="0" w:right="0" w:firstLine="576"/>
        <w:jc w:val="left"/>
      </w:pPr>
      <w:r>
        <w:rPr>
          <w:u w:val="single"/>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r>
        <w:rPr/>
        <w:t xml:space="preserve">.</w:t>
      </w:r>
    </w:p>
    <w:p>
      <w:pPr>
        <w:spacing w:before="0" w:after="0" w:line="408" w:lineRule="exact"/>
        <w:ind w:left="0" w:right="0" w:firstLine="576"/>
        <w:jc w:val="left"/>
      </w:pPr>
      <w:r>
        <w:rPr/>
        <w:t xml:space="preserve">(8) Proof of breach of any obligation arising under this section is not proof of damages. Damages awarded for a breach of </w:t>
      </w:r>
      <w:r>
        <w:t>((</w:t>
      </w:r>
      <w:r>
        <w:rPr>
          <w:strike/>
        </w:rPr>
        <w:t xml:space="preserve">an obligation</w:t>
      </w:r>
      <w:r>
        <w:t>))</w:t>
      </w:r>
      <w:r>
        <w:rPr/>
        <w:t xml:space="preserve"> </w:t>
      </w:r>
      <w:r>
        <w:rPr>
          <w:u w:val="single"/>
        </w:rPr>
        <w:t xml:space="preserve">a warranty</w:t>
      </w:r>
      <w:r>
        <w:rPr/>
        <w:t xml:space="preserve"> arising under </w:t>
      </w:r>
      <w:r>
        <w:rPr>
          <w:u w:val="single"/>
        </w:rPr>
        <w:t xml:space="preserve">subsection (2) of</w:t>
      </w:r>
      <w:r>
        <w:rPr/>
        <w:t xml:space="preserve"> this section are the reasonable cost of repairs. However, if it is established that the cost of such repairs is clearly disproportionate to the loss in market value caused by the breach, damages are limited to the loss in market value.</w:t>
      </w:r>
    </w:p>
    <w:p>
      <w:pPr>
        <w:spacing w:before="240" w:after="0" w:line="408" w:lineRule="exact"/>
        <w:ind w:left="0" w:right="0" w:firstLine="576"/>
        <w:jc w:val="center"/>
      </w:pPr>
      <w:r>
        <w:rPr>
          <w:b/>
        </w:rPr>
        <w:t xml:space="preserve">PART II </w:t>
      </w:r>
      <w:r>
        <w:rPr>
          <w:rFonts w:ascii="Times New Roman" w:hAnsi="Times New Roman"/>
          <w:b/>
        </w:rPr>
        <w:t xml:space="preserve">—</w:t>
      </w:r>
      <w:r>
        <w:rPr>
          <w:b/>
        </w:rPr>
        <w:t xml:space="preserve">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2018 c 277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64.90.090, or 64.90.095,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RCW 64.90.210 (1)(b) or </w:t>
      </w:r>
      <w:r>
        <w:t>((</w:t>
      </w:r>
      <w:r>
        <w:rPr>
          <w:strike/>
        </w:rPr>
        <w:t xml:space="preserve">(2)</w:t>
      </w:r>
      <w:r>
        <w:t>))</w:t>
      </w:r>
      <w:r>
        <w:rPr/>
        <w:t xml:space="preserve"> </w:t>
      </w:r>
      <w:r>
        <w:rPr>
          <w:u w:val="single"/>
        </w:rPr>
        <w:t xml:space="preserve">(3)</w:t>
      </w:r>
      <w:r>
        <w:rPr/>
        <w:t xml:space="preserve">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rPr/>
        <w:t xml:space="preserve">(32) "Master association" means an organization described in RCW 64.90.300, whether or not it is also an association described in RCW 64.90.400.</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RCW 64.90.610(1)(h);</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RCW 64.90.480 (4) through (8).</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RCW 64.90.415(4).</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025</w:t>
      </w:r>
      <w:r>
        <w:rPr/>
        <w:t xml:space="preserve"> and 2018 c 277 s 105 are each amended to read as follows:</w:t>
      </w:r>
    </w:p>
    <w:p>
      <w:pPr>
        <w:spacing w:before="0" w:after="0" w:line="408" w:lineRule="exact"/>
        <w:ind w:left="0" w:right="0" w:firstLine="576"/>
        <w:jc w:val="left"/>
      </w:pP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w:t>
      </w:r>
      <w:r>
        <w:rPr>
          <w:u w:val="single"/>
        </w:rPr>
        <w:t xml:space="preserve">or miscellaneous community</w:t>
      </w:r>
      <w:r>
        <w:rPr/>
        <w:t xml:space="preser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w:t>
      </w:r>
      <w:r>
        <w:rPr>
          <w:u w:val="single"/>
        </w:rPr>
        <w:t xml:space="preserve">or miscellaneous community</w:t>
      </w:r>
      <w:r>
        <w:rPr/>
        <w:t xml:space="preser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RCW 64.90.290(2)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2018 c 277 s 116 are each amended to read as follows:</w:t>
      </w:r>
    </w:p>
    <w:p>
      <w:pPr>
        <w:spacing w:before="0" w:after="0" w:line="408" w:lineRule="exact"/>
        <w:ind w:left="0" w:right="0" w:firstLine="576"/>
        <w:jc w:val="left"/>
      </w:pPr>
      <w:r>
        <w:rPr/>
        <w:t xml:space="preserve">(1) Except as provided otherwise in this section, this chapter applies to all common interest communities created within this state after July 1, 2018. Chapters </w:t>
      </w:r>
      <w:r>
        <w:t>((</w:t>
      </w:r>
      <w:r>
        <w:rPr>
          <w:strike/>
        </w:rPr>
        <w:t xml:space="preserve">59.18</w:t>
      </w:r>
      <w:r>
        <w:t>))</w:t>
      </w:r>
      <w:r>
        <w:rPr/>
        <w:t xml:space="preserve"> </w:t>
      </w:r>
      <w:r>
        <w:rPr>
          <w:u w:val="single"/>
        </w:rPr>
        <w:t xml:space="preserve">58.19</w:t>
      </w:r>
      <w:r>
        <w:rPr/>
        <w:t xml:space="preserve">, 64.32, 64.34, and 64.38 RCW do not apply to common interest communities created after July 1, 2018.</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RCW 64.90.020, 64.90.025, and 64.90.030,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RCW 64.90.065.</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0" w:after="0" w:line="408" w:lineRule="exact"/>
        <w:ind w:left="0" w:right="0" w:firstLine="576"/>
        <w:jc w:val="left"/>
      </w:pPr>
      <w:r>
        <w:rPr>
          <w:u w:val="single"/>
        </w:rPr>
        <w:t xml:space="preserve">(4) Except as otherwise provided in RCW 64.90.080, this chapter does not apply to any common interest community created within this state after July 1, 2018, if:</w:t>
      </w:r>
    </w:p>
    <w:p>
      <w:pPr>
        <w:spacing w:before="0" w:after="0" w:line="408" w:lineRule="exact"/>
        <w:ind w:left="0" w:right="0" w:firstLine="576"/>
        <w:jc w:val="left"/>
      </w:pPr>
      <w:r>
        <w:rPr>
          <w:u w:val="single"/>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u w:val="single"/>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2018 c 277 s 117 are each amended to read as follows:</w:t>
      </w:r>
    </w:p>
    <w:p>
      <w:pPr>
        <w:spacing w:before="0" w:after="0" w:line="408" w:lineRule="exact"/>
        <w:ind w:left="0" w:right="0" w:firstLine="576"/>
        <w:jc w:val="left"/>
      </w:pPr>
      <w:r>
        <w:rPr/>
        <w:t xml:space="preserve">(1) Except for a nonresidential common interest community described in RCW 64.90.100, RCW 64.90.095 </w:t>
      </w:r>
      <w:r>
        <w:t>((</w:t>
      </w:r>
      <w:r>
        <w:rPr>
          <w:strike/>
        </w:rPr>
        <w:t xml:space="preserve">and</w:t>
      </w:r>
      <w:r>
        <w:t>))</w:t>
      </w:r>
      <w:r>
        <w:rPr>
          <w:u w:val="single"/>
        </w:rPr>
        <w:t xml:space="preserve">, 64.90.405(1) (b) and (c),</w:t>
      </w:r>
      <w:r>
        <w:rPr/>
        <w:t xml:space="preserve"> 64.90.525 </w:t>
      </w:r>
      <w:r>
        <w:rPr>
          <w:u w:val="single"/>
        </w:rPr>
        <w:t xml:space="preserve">and 64.90.545</w:t>
      </w:r>
      <w:r>
        <w:rPr/>
        <w:t xml:space="preserve"> apply, and any inconsistent provisions of chapter </w:t>
      </w:r>
      <w:r>
        <w:t>((</w:t>
      </w:r>
      <w:r>
        <w:rPr>
          <w:strike/>
        </w:rPr>
        <w:t xml:space="preserve">59.18</w:t>
      </w:r>
      <w:r>
        <w:t>))</w:t>
      </w:r>
      <w:r>
        <w:rPr/>
        <w:t xml:space="preserve"> </w:t>
      </w:r>
      <w:r>
        <w:rPr>
          <w:u w:val="single"/>
        </w:rPr>
        <w:t xml:space="preserve">58.19</w:t>
      </w:r>
      <w:r>
        <w:rPr/>
        <w:t xml:space="preserve">, 64.32, 64.34, or 64.38 RCW do not apply, to a common interest community created in this state before July 1, 2018.</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after July 1, 2018, and do not invalidate existing provisions of the governing documents of those common interest communities. To protect the public interest, RCW 64.90.095 and 64.90.525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090</w:t>
      </w:r>
      <w:r>
        <w:rPr/>
        <w:t xml:space="preserve"> and 2018 c 277 s 119 are each amended to read as follows:</w:t>
      </w:r>
    </w:p>
    <w:p>
      <w:pPr>
        <w:spacing w:before="0" w:after="0" w:line="408" w:lineRule="exact"/>
        <w:ind w:left="0" w:right="0" w:firstLine="576"/>
        <w:jc w:val="left"/>
      </w:pPr>
      <w:r>
        <w:rPr>
          <w:u w:val="single"/>
        </w:rPr>
        <w:t xml:space="preserve">(1)</w:t>
      </w:r>
      <w:r>
        <w:rPr/>
        <w:t xml:space="preserve"> Chapter 64.32 RCW does not apply to condominiums created after July 1, 1990, and </w:t>
      </w:r>
      <w:r>
        <w:rPr>
          <w:u w:val="single"/>
        </w:rPr>
        <w:t xml:space="preserve">except as otherwise provided in subsection (2) of this section,</w:t>
      </w:r>
      <w:r>
        <w:rPr/>
        <w:t xml:space="preserve"> chapter 64.34 RCW does not apply to condominiums created after July 1, 2018.</w:t>
      </w:r>
    </w:p>
    <w:p>
      <w:pPr>
        <w:spacing w:before="0" w:after="0" w:line="408" w:lineRule="exact"/>
        <w:ind w:left="0" w:right="0" w:firstLine="576"/>
        <w:jc w:val="left"/>
      </w:pPr>
      <w:r>
        <w:rPr>
          <w:u w:val="single"/>
        </w:rPr>
        <w:t xml:space="preserve">(2) RCW 64.34.405, 64.34.410, 64.34.415, 64.34.417, 64.34.418, and 64.34.420 continue to apply, and RCW 64.90.605, 64.90.610, 64.90.615, 64.90.620, 64.90.625, 64.90.630, and 64.90.635 do not apply, to any public offering statement first delivered to a prospective purchaser prior to July 1, 2018, for any common interest community created after July 1, 2018. A declarant or dealer who first delivered a public offering statement to a prospective purchaser pursuant to chapter 64.34 RCW prior to July 1, 2018, is not required to deliver a new or amended public offering statement to that purchaser pursuant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2018 c 277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RCW 64.90.210 (1)(b) and </w:t>
      </w:r>
      <w:r>
        <w:t>((</w:t>
      </w:r>
      <w:r>
        <w:rPr>
          <w:strike/>
        </w:rPr>
        <w:t xml:space="preserve">(2)</w:t>
      </w:r>
      <w:r>
        <w:t>))</w:t>
      </w:r>
      <w:r>
        <w:rPr/>
        <w:t xml:space="preserve"> </w:t>
      </w:r>
      <w:r>
        <w:rPr>
          <w:u w:val="single"/>
        </w:rPr>
        <w:t xml:space="preserve">(3)</w:t>
      </w:r>
      <w:r>
        <w:rPr/>
        <w:t xml:space="preserve">,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64.90.510(9)(c)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r>
        <w:rPr>
          <w:u w:val="single"/>
        </w:rPr>
        <w:t xml:space="preserve">;</w:t>
      </w:r>
    </w:p>
    <w:p>
      <w:pPr>
        <w:spacing w:before="0" w:after="0" w:line="408" w:lineRule="exact"/>
        <w:ind w:left="0" w:right="0" w:firstLine="576"/>
        <w:jc w:val="left"/>
      </w:pPr>
      <w:r>
        <w:rPr>
          <w:u w:val="single"/>
        </w:rPr>
        <w:t xml:space="preserve">(o) A statement on the first page of the declaration whether the common interest community is subject to this chapter</w:t>
      </w:r>
      <w:r>
        <w:rPr/>
        <w:t xml:space="preserve">.</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245</w:t>
      </w:r>
      <w:r>
        <w:rPr/>
        <w:t xml:space="preserve"> and 2018 c 277 s 210 are each amended to read as follows:</w:t>
      </w:r>
    </w:p>
    <w:p>
      <w:pPr>
        <w:spacing w:before="0" w:after="0" w:line="408" w:lineRule="exact"/>
        <w:ind w:left="0" w:right="0" w:firstLine="576"/>
        <w:jc w:val="left"/>
      </w:pP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RCW 64.90.225(1)(d).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64.90.245;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RCW 64.90.225(1)(h)(i),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RCW 64.90.225(1)(h)(i),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w:t>
      </w:r>
      <w:r>
        <w:rPr>
          <w:u w:val="single"/>
        </w:rPr>
        <w:t xml:space="preserve">, and that unit's identifying number</w:t>
      </w:r>
      <w:r>
        <w:rPr/>
        <w:t xml:space="preserve">.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RCW 64.90.610(1)(k);</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RCW 64.90.250(3).</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(6)(a) and (c), (8)(d)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2018 c 277 s 218 are each amended to read as follows:</w:t>
      </w:r>
    </w:p>
    <w:p>
      <w:pPr>
        <w:spacing w:before="0" w:after="0" w:line="408" w:lineRule="exact"/>
        <w:ind w:left="0" w:right="0" w:firstLine="576"/>
        <w:jc w:val="left"/>
      </w:pPr>
      <w:r>
        <w:rPr/>
        <w:t xml:space="preserve">(1)(a) Except in cases of amendments that may be executed by: A declarant under subsection (10) of this section, RCW 64.90.240(2), 64.90.245(12), 64.90.250, or 64.90.415(2)(d); the association under RCW 64.90.030, 64.90.230(5), 64.90.240(3), 64.90.260(1), or 64.90.265 or subsection (11) of this section; or certain unit owners under RCW 64.90.240(2), 64.90.260(1), 64.90.265(2), or 64.90.290(2),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RCW 64.90.015, 64.90.050, 64.90.055, and 64.90.060.</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RCW 64.90.260(1),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RCW 64.90.225(1)(g)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RCW 64.90.405</w:t>
      </w:r>
      <w:r>
        <w:t>((</w:t>
      </w:r>
      <w:r>
        <w:rPr>
          <w:strike/>
        </w:rPr>
        <w:t xml:space="preserve">(1)(u)</w:t>
      </w:r>
      <w:r>
        <w:t>))</w:t>
      </w:r>
      <w:r>
        <w:rPr/>
        <w:t xml:space="preserve"> </w:t>
      </w:r>
      <w:r>
        <w:rPr>
          <w:u w:val="single"/>
        </w:rPr>
        <w:t xml:space="preserve">(3)(a)</w:t>
      </w:r>
      <w:r>
        <w:rPr/>
        <w:t xml:space="preserve">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2018 c 277 s 302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64.90.080(1)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w:t>
      </w:r>
      <w:r>
        <w:t>((</w:t>
      </w:r>
      <w:r>
        <w:rPr>
          <w:strike/>
        </w:rPr>
        <w:t xml:space="preserve">sixty</w:t>
      </w:r>
      <w:r>
        <w:t>))</w:t>
      </w:r>
      <w:r>
        <w:rPr/>
        <w:t xml:space="preserve"> </w:t>
      </w:r>
      <w:r>
        <w:rPr>
          <w:u w:val="single"/>
        </w:rPr>
        <w:t xml:space="preserve">fifty</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2018 c 277 s 310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w:t>
      </w:r>
      <w:r>
        <w:t>((</w:t>
      </w:r>
      <w:r>
        <w:rPr>
          <w:strike/>
        </w:rPr>
        <w:t xml:space="preserve">those</w:t>
      </w:r>
      <w:r>
        <w:t>))</w:t>
      </w:r>
      <w:r>
        <w:rPr/>
        <w:t xml:space="preserve"> </w:t>
      </w:r>
      <w:r>
        <w:rPr>
          <w:u w:val="single"/>
        </w:rPr>
        <w:t xml:space="preserve">the</w:t>
      </w:r>
      <w:r>
        <w:rPr/>
        <w:t xml:space="preserv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2018 c 277 s 318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w:t>
      </w:r>
      <w:r>
        <w:rPr>
          <w:u w:val="single"/>
        </w:rPr>
        <w:t xml:space="preserve">and (ii)</w:t>
      </w:r>
      <w:r>
        <w:rPr/>
        <w:t xml:space="preserve">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2018 c 277 s 403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w:t>
      </w:r>
    </w:p>
    <w:p>
      <w:pPr>
        <w:spacing w:before="0" w:after="0" w:line="408" w:lineRule="exact"/>
        <w:ind w:left="0" w:right="0" w:firstLine="576"/>
        <w:jc w:val="left"/>
      </w:pPr>
      <w:r>
        <w:rPr/>
        <w:t xml:space="preserve">(3) The public offering statement must include copies of each of the following documents: The declaration; the </w:t>
      </w:r>
      <w:r>
        <w:t>((</w:t>
      </w:r>
      <w:r>
        <w:rPr>
          <w:strike/>
        </w:rPr>
        <w:t xml:space="preserve">survey</w:t>
      </w:r>
      <w:r>
        <w:t>))</w:t>
      </w:r>
      <w:r>
        <w:rPr/>
        <w:t xml:space="preserve"> </w:t>
      </w:r>
      <w:r>
        <w:rPr>
          <w:u w:val="single"/>
        </w:rPr>
        <w:t xml:space="preserve">map</w:t>
      </w:r>
      <w:r>
        <w:rPr/>
        <w:t xml:space="preserve">; the organizational documents; the rules </w:t>
      </w:r>
      <w:r>
        <w:t>((</w:t>
      </w:r>
      <w:r>
        <w:rPr>
          <w:strike/>
        </w:rPr>
        <w:t xml:space="preserve">and regulations</w:t>
      </w:r>
      <w:r>
        <w:t>))</w:t>
      </w:r>
      <w:r>
        <w:rPr/>
        <w:t xml:space="preserve">,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2010 c 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A residential condominium as defined in RCW 64.34.020</w:t>
      </w:r>
      <w:r>
        <w:t>((</w:t>
      </w:r>
      <w:r>
        <w:rPr>
          <w:strike/>
        </w:rPr>
        <w:t xml:space="preserve">(9)</w:t>
      </w:r>
      <w:r>
        <w:t>))</w:t>
      </w:r>
      <w:r>
        <w:rPr/>
        <w:t xml:space="preserve"> </w:t>
      </w:r>
      <w:r>
        <w:rPr>
          <w:u w:val="single"/>
        </w:rPr>
        <w:t xml:space="preserve">(10)</w:t>
      </w:r>
      <w:r>
        <w:rPr/>
        <w:t xml:space="preserve">, unless the sale is subject to the public offering statement requirement in the Washington condominium act, chapter 64.34 RCW;</w:t>
      </w:r>
    </w:p>
    <w:p>
      <w:pPr>
        <w:spacing w:before="0" w:after="0" w:line="408" w:lineRule="exact"/>
        <w:ind w:left="0" w:right="0" w:firstLine="576"/>
        <w:jc w:val="left"/>
      </w:pPr>
      <w:r>
        <w:rPr/>
        <w:t xml:space="preserve">(c) A residential timeshare, as defined in RCW 64.36.010(11), unless subject to written disclosure under the Washington timeshare act, chapter 64.36 RCW; </w:t>
      </w:r>
      <w:r>
        <w:t>((</w:t>
      </w:r>
      <w:r>
        <w:rPr>
          <w:strike/>
        </w:rPr>
        <w:t xml:space="preserve">or</w:t>
      </w:r>
      <w:r>
        <w:t>))</w:t>
      </w:r>
    </w:p>
    <w:p>
      <w:pPr>
        <w:spacing w:before="0" w:after="0" w:line="408" w:lineRule="exact"/>
        <w:ind w:left="0" w:right="0" w:firstLine="576"/>
        <w:jc w:val="left"/>
      </w:pPr>
      <w:r>
        <w:rPr/>
        <w:t xml:space="preserve">(d) A mobile or manufactured home, as defined in RCW 43.22.335 or 46.04.302, that is personal property</w:t>
      </w:r>
      <w:r>
        <w:rPr>
          <w:u w:val="single"/>
        </w:rPr>
        <w:t xml:space="preserve">; or</w:t>
      </w:r>
    </w:p>
    <w:p>
      <w:pPr>
        <w:spacing w:before="0" w:after="0" w:line="408" w:lineRule="exact"/>
        <w:ind w:left="0" w:right="0" w:firstLine="576"/>
        <w:jc w:val="left"/>
      </w:pPr>
      <w:r>
        <w:rPr>
          <w:u w:val="single"/>
        </w:rPr>
        <w:t xml:space="preserve">(e) A residential common interest community as defined in RCW 64.90.010(10) unless the sale is subject to the public offering statement requirement in the Washington uniform common interest ownership act, chapter 64.90 RCW</w:t>
      </w:r>
      <w:r>
        <w:rPr/>
        <w:t xml:space="preserve">.</w:t>
      </w:r>
    </w:p>
    <w:p>
      <w:pPr>
        <w:spacing w:before="0" w:after="0" w:line="408" w:lineRule="exact"/>
        <w:ind w:left="0" w:right="0" w:firstLine="576"/>
        <w:jc w:val="left"/>
      </w:pPr>
      <w:r>
        <w:rPr/>
        <w:t xml:space="preserve">(3) "Residential real property" means both improved and unimproved residential real property.</w:t>
      </w:r>
    </w:p>
    <w:p>
      <w:pPr>
        <w:spacing w:before="0" w:after="0" w:line="408" w:lineRule="exact"/>
        <w:ind w:left="0" w:right="0" w:firstLine="576"/>
        <w:jc w:val="left"/>
      </w:pPr>
      <w:r>
        <w:rPr/>
        <w:t xml:space="preserve">(4) "Seller disclosure statement" means the form to be completed by the seller of residential real property as prescribed by this chapter.</w:t>
      </w:r>
    </w:p>
    <w:p>
      <w:pPr>
        <w:spacing w:before="0" w:after="0" w:line="408" w:lineRule="exact"/>
        <w:ind w:left="0" w:right="0" w:firstLine="576"/>
        <w:jc w:val="left"/>
      </w:pPr>
      <w:r>
        <w:rPr/>
        <w:t xml:space="preserve">(5)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0" w:after="0" w:line="408" w:lineRule="exact"/>
        <w:ind w:left="0" w:right="0" w:firstLine="576"/>
        <w:jc w:val="left"/>
      </w:pPr>
      <w:r>
        <w:rPr>
          <w:u w:val="single"/>
        </w:rPr>
        <w:t xml:space="preserve">(6) "Improved residential property," "unimproved residential property," and "commercial real estate" do not include a condominium unit created under chapter 64.90 RCW after July 1, 2018, if the buyer of the unit entered into a contract to purchase the unit prior to July 1, 2018, and received a public offering statement pursuant to chapter 64.34 RCW prior to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2018 c 277 s 501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an</w:t>
      </w:r>
      <w:r>
        <w:t>))</w:t>
      </w:r>
      <w:r>
        <w:rPr/>
        <w:t xml:space="preserve"> </w:t>
      </w:r>
      <w:r>
        <w:rPr>
          <w:u w:val="single"/>
        </w:rPr>
        <w:t xml:space="preserve">a condominium, homeowners', or common interest community</w:t>
      </w:r>
      <w:r>
        <w:rPr/>
        <w:t xml:space="preserve">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2005 c 456 s 1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conversion condominiums as defined in RCW 64.34.020 </w:t>
      </w:r>
      <w:r>
        <w:rPr>
          <w:u w:val="single"/>
        </w:rPr>
        <w:t xml:space="preserve">or conversion buildings as defined in RCW 64.90.010</w:t>
      </w:r>
      <w:r>
        <w:rPr/>
        <w:t xml:space="preserve">, provided that RCW 64.55.090 shall not apply to a condominium conversion for which a public offering statement had been delivered pursuant to chapter 64.34 RCW prior to August 1, 2005.</w:t>
      </w:r>
    </w:p>
    <w:p>
      <w:pPr>
        <w:spacing w:before="0" w:after="0" w:line="408" w:lineRule="exact"/>
        <w:ind w:left="0" w:right="0" w:firstLine="576"/>
        <w:jc w:val="left"/>
      </w:pPr>
      <w:r>
        <w:rPr/>
        <w:t xml:space="preserve">(2) RCW 64.55.010 and 64.55.100 through 64.55.160 and 64.34.415 apply to any action that alleges breach of an implied or express warranty under chapter 64.34 RCW or that seeks relief that could be awarded for such breach, regardless of the legal theory </w:t>
      </w:r>
      <w:r>
        <w:t>((</w:t>
      </w:r>
      <w:r>
        <w:rPr>
          <w:strike/>
        </w:rPr>
        <w:t xml:space="preserve">pled</w:t>
      </w:r>
      <w:r>
        <w:t>))</w:t>
      </w:r>
      <w:r>
        <w:rPr/>
        <w:t xml:space="preserve"> </w:t>
      </w:r>
      <w:r>
        <w:rPr>
          <w:u w:val="single"/>
        </w:rPr>
        <w:t xml:space="preserve">pleaded</w:t>
      </w:r>
      <w:r>
        <w:rPr/>
        <w:t xml:space="preserve">, except that RCW 64.55.100 through 64.55.160 and 64.34.415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64.34.050.</w:t>
      </w:r>
    </w:p>
    <w:p/>
    <w:p>
      <w:pPr>
        <w:jc w:val="center"/>
      </w:pPr>
      <w:r>
        <w:rPr>
          <w:b/>
        </w:rPr>
        <w:t>--- END ---</w:t>
      </w:r>
    </w:p>
    <w:sectPr>
      <w:pgNumType w:start="1"/>
      <w:footerReference xmlns:r="http://schemas.openxmlformats.org/officeDocument/2006/relationships" r:id="R125349c35d8340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a414e1b014137" /><Relationship Type="http://schemas.openxmlformats.org/officeDocument/2006/relationships/footer" Target="/word/footer1.xml" Id="R125349c35d8340ec" /></Relationships>
</file>