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62a9c1a7e4797" /></Relationships>
</file>

<file path=word/document.xml><?xml version="1.0" encoding="utf-8"?>
<w:document xmlns:w="http://schemas.openxmlformats.org/wordprocessingml/2006/main">
  <w:body>
    <w:p>
      <w:r>
        <w:t>Z-0381.1</w:t>
      </w:r>
    </w:p>
    <w:p>
      <w:pPr>
        <w:jc w:val="center"/>
      </w:pPr>
      <w:r>
        <w:t>_______________________________________________</w:t>
      </w:r>
    </w:p>
    <w:p/>
    <w:p>
      <w:pPr>
        <w:jc w:val="center"/>
      </w:pPr>
      <w:r>
        <w:rPr>
          <w:b/>
        </w:rPr>
        <w:t>HOUSE BILL 1343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Tarleton, Dolan, Valdez, Ormsby, and Wylie; by request of Office of Financial Management</w:t>
      </w:r>
    </w:p>
    <w:p/>
    <w:p>
      <w:r>
        <w:rPr>
          <w:t xml:space="preserve">Read first time 01/18/19.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revenues for the support of state government; adding new sections to chapter 82.04 RCW; adding a new section to chapter 82.32 RCW; adding a new chapter to Title 82 RCW;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Imposing an Excise Tax on Capital Gains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2020, a tax is imposed on all individuals for the privilege of selling or exchanging long-term capital assets, or receiving Washington capital gains. The tax equals nine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(1), "residential dwelling"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or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102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301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into the general fund of the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Increasing the Business and Occupation Tax Rate on Certain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2019, an additional rate of tax of 1.0 percent is added to the rate provided for in RCW 82.04.255, 82.04.285, and 82.04.290(2)(a).</w:t>
      </w:r>
    </w:p>
    <w:p>
      <w:pPr>
        <w:spacing w:before="0" w:after="0" w:line="408" w:lineRule="exact"/>
        <w:ind w:left="0" w:right="0" w:firstLine="576"/>
        <w:jc w:val="left"/>
      </w:pPr>
      <w:r>
        <w:rPr/>
        <w:t xml:space="preserve">(2)(a) The additional rate in subsection (1) of this section does not apply to persons engaging within this state in business as a hospital. "Hospital" has the meaning provided in chapter 70.41 RCW but also includes any hospital that comes within the scope of chapter 71.12 RCW if the hospital is also licensed under chapter 70.41 RCW.</w:t>
      </w:r>
    </w:p>
    <w:p>
      <w:pPr>
        <w:spacing w:before="0" w:after="0" w:line="408" w:lineRule="exact"/>
        <w:ind w:left="0" w:right="0" w:firstLine="576"/>
        <w:jc w:val="left"/>
      </w:pPr>
      <w:r>
        <w:rPr/>
        <w:t xml:space="preserve">(b) The additional rate in subsection (1) of this section does not apply to amounts received from performing scientific research and development services including but not limited to research and development in the physical, engineering, and life sciences (such as agriculture, bacteriological, biotechnology, chemical, life sciences, and physical science research and development laboratories or services).</w:t>
      </w:r>
    </w:p>
    <w:p>
      <w:pPr>
        <w:spacing w:before="0" w:after="0" w:line="408" w:lineRule="exact"/>
        <w:ind w:left="0" w:right="0" w:firstLine="576"/>
        <w:jc w:val="left"/>
      </w:pPr>
      <w:r>
        <w:rPr/>
        <w:t xml:space="preserve">(3) Revenues received from the additional rate in this section must be deposited as follows:</w:t>
      </w:r>
    </w:p>
    <w:p>
      <w:pPr>
        <w:spacing w:before="0" w:after="0" w:line="408" w:lineRule="exact"/>
        <w:ind w:left="0" w:right="0" w:firstLine="576"/>
        <w:jc w:val="left"/>
      </w:pPr>
      <w:r>
        <w:rPr/>
        <w:t xml:space="preserve">(a) Eighty percent must be deposited into the education legacy trust account created under RCW 83.100.230; and</w:t>
      </w:r>
    </w:p>
    <w:p>
      <w:pPr>
        <w:spacing w:before="0" w:after="0" w:line="408" w:lineRule="exact"/>
        <w:ind w:left="0" w:right="0" w:firstLine="576"/>
        <w:jc w:val="left"/>
      </w:pPr>
      <w:r>
        <w:rPr/>
        <w:t xml:space="preserve">(b) Twenty percent must be deposited into the general fund.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Sections 101 through 111, 114, and 303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0c791ade08c04f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1ad35f4d394001" /><Relationship Type="http://schemas.openxmlformats.org/officeDocument/2006/relationships/footer" Target="/word/footer1.xml" Id="R0c791ade08c04fff" /></Relationships>
</file>