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4ca88da594f42" /></Relationships>
</file>

<file path=word/document.xml><?xml version="1.0" encoding="utf-8"?>
<w:document xmlns:w="http://schemas.openxmlformats.org/wordprocessingml/2006/main">
  <w:body>
    <w:p>
      <w:r>
        <w:t>H-1349.1</w:t>
      </w:r>
    </w:p>
    <w:p>
      <w:pPr>
        <w:jc w:val="center"/>
      </w:pPr>
      <w:r>
        <w:t>_______________________________________________</w:t>
      </w:r>
    </w:p>
    <w:p/>
    <w:p>
      <w:pPr>
        <w:jc w:val="center"/>
      </w:pPr>
      <w:r>
        <w:rPr>
          <w:b/>
        </w:rPr>
        <w:t>SUBSTITUTE HOUSE BILL 1348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Chapman, Maycumber, Springer, Tharinger, Steele, and Morris)</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Washington businesses succeed by modifying certain business and occupation tax provisions; amending RCW 82.04.240, 82.04.240, 82.04.260, 82.04.261, 82.04.280, and 82.32.790;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one of the strongest economies in the country. However, the local economies in rural counties continue to struggle. The legislature concludes that in the spirit of one Washington, the economic prosperity of our state must be shared by all of our communities, both urban and rural. Therefore, it is the intention of the legislature to modify the business and occupation tax structure of manufacturers to encourage economic growth and lower the unemployment rate across the state, especially in rural areas.</w:t>
      </w:r>
    </w:p>
    <w:p>
      <w:pPr>
        <w:spacing w:before="0" w:after="0" w:line="408" w:lineRule="exact"/>
        <w:ind w:left="0" w:right="0" w:firstLine="576"/>
        <w:jc w:val="left"/>
      </w:pPr>
      <w:r>
        <w:rPr/>
        <w:t xml:space="preserve">(2)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should continue until the expiration date of the Washington state forest practices habitat conservation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processor for hire, and printing materials other than newspapers, and of publishing periodicals</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amount taxable under this section; and</w:t>
      </w:r>
    </w:p>
    <w:p>
      <w:pPr>
        <w:spacing w:before="0" w:after="0" w:line="408" w:lineRule="exact"/>
        <w:ind w:left="0" w:right="0" w:firstLine="576"/>
        <w:jc w:val="left"/>
      </w:pPr>
      <w:r>
        <w:rPr>
          <w:u w:val="single"/>
        </w:rPr>
        <w:t xml:space="preserve">(ii) 0.484 percent, on the total amount taxable under this section that exceeds fifty million dollars;</w:t>
      </w:r>
    </w:p>
    <w:p>
      <w:pPr>
        <w:spacing w:before="0" w:after="0" w:line="408" w:lineRule="exact"/>
        <w:ind w:left="0" w:right="0" w:firstLine="576"/>
        <w:jc w:val="left"/>
      </w:pPr>
      <w:r>
        <w:rPr>
          <w:u w:val="single"/>
        </w:rPr>
        <w:t xml:space="preserve">(b) 0.2904 percent, beginning on January 1, 2030.</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w:t>
      </w:r>
      <w:r>
        <w:rPr>
          <w:u w:val="single"/>
        </w:rPr>
        <w:t xml:space="preserve">, processor for hire, and printing materials other than newspapers, and of publishing periodicals</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w:t>
      </w:r>
    </w:p>
    <w:p>
      <w:pPr>
        <w:spacing w:before="0" w:after="0" w:line="408" w:lineRule="exact"/>
        <w:ind w:left="0" w:right="0" w:firstLine="576"/>
        <w:jc w:val="left"/>
      </w:pPr>
      <w:r>
        <w:rPr>
          <w:u w:val="single"/>
        </w:rPr>
        <w:t xml:space="preserve">(a) Through December 31, 2029:</w:t>
      </w:r>
    </w:p>
    <w:p>
      <w:pPr>
        <w:spacing w:before="0" w:after="0" w:line="408" w:lineRule="exact"/>
        <w:ind w:left="0" w:right="0" w:firstLine="576"/>
        <w:jc w:val="left"/>
      </w:pPr>
      <w:r>
        <w:rPr>
          <w:u w:val="single"/>
        </w:rPr>
        <w:t xml:space="preserve">(i) 0.2904 percent, on the first fifty million dollars of the total taxable amount under this section; and</w:t>
      </w:r>
    </w:p>
    <w:p>
      <w:pPr>
        <w:spacing w:before="0" w:after="0" w:line="408" w:lineRule="exact"/>
        <w:ind w:left="0" w:right="0" w:firstLine="576"/>
        <w:jc w:val="left"/>
      </w:pPr>
      <w:r>
        <w:rPr>
          <w:u w:val="single"/>
        </w:rPr>
        <w:t xml:space="preserve">(ii) 0.484 percent, on the total taxable amount under this section that exceeds fifty million dollars; and</w:t>
      </w:r>
    </w:p>
    <w:p>
      <w:pPr>
        <w:spacing w:before="0" w:after="0" w:line="408" w:lineRule="exact"/>
        <w:ind w:left="0" w:right="0" w:firstLine="576"/>
        <w:jc w:val="left"/>
      </w:pPr>
      <w:r>
        <w:rPr>
          <w:u w:val="single"/>
        </w:rPr>
        <w:t xml:space="preserve">(b) 0.2904 percent, beginning on January 1, 2030</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w:t>
      </w:r>
      <w:r>
        <w:rPr>
          <w:u w:val="single"/>
        </w:rPr>
        <w:t xml:space="preserve">through June 30, 2024, and 0.2384 percent from July 1, 2024, through June 30, 2056</w:t>
      </w:r>
      <w:r>
        <w:rPr/>
        <w:t xml:space="preserve">.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t>((</w:t>
      </w:r>
      <w:r>
        <w:rPr>
          <w:strike/>
        </w:rPr>
        <w:t xml:space="preserve">(3)(a) The surcharge imposed under this section is suspended if:</w:t>
      </w:r>
    </w:p>
    <w:p>
      <w:pPr>
        <w:spacing w:before="0" w:after="0" w:line="408" w:lineRule="exact"/>
        <w:ind w:left="0" w:right="0" w:firstLine="576"/>
        <w:jc w:val="left"/>
      </w:pPr>
      <w:r>
        <w:rPr>
          <w:strike/>
        </w:rPr>
        <w:t xml:space="preserve">(i) Receipts from the surcharge total at least eight million dollars during any fiscal biennium; or</w:t>
      </w:r>
    </w:p>
    <w:p>
      <w:pPr>
        <w:spacing w:before="0" w:after="0" w:line="408" w:lineRule="exact"/>
        <w:ind w:left="0" w:right="0" w:firstLine="576"/>
        <w:jc w:val="left"/>
      </w:pPr>
      <w:r>
        <w:rPr>
          <w:strike/>
        </w:rPr>
        <w:t xml:space="preserve">(ii) The office of financial management certifies to the department that the federal government has appropriated at least two million dollars for participation in forest and fish report</w:t>
      </w:r>
      <w:r>
        <w:rPr/>
        <w:noBreakHyphen/>
      </w:r>
      <w:r>
        <w:rPr>
          <w:strike/>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strike/>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(3) This section expires July 1, 2056.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w:t>
      </w:r>
      <w:r>
        <w:t>((</w:t>
      </w:r>
      <w:r>
        <w:rPr>
          <w:strike/>
        </w:rPr>
        <w:t xml:space="preserve">Printing materials other than newspapers, and of publishing periodicals or magazines; (b)</w:t>
      </w:r>
      <w:r>
        <w:t>))</w:t>
      </w:r>
      <w:r>
        <w:rPr/>
        <w:t xml:space="preserve">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w:t>
      </w:r>
      <w:r>
        <w:t>((</w:t>
      </w:r>
      <w:r>
        <w:rPr>
          <w:strike/>
        </w:rPr>
        <w:t xml:space="preserve">(c)</w:t>
      </w:r>
      <w:r>
        <w:t>))</w:t>
      </w:r>
      <w:r>
        <w:rPr/>
        <w:t xml:space="preserve"> </w:t>
      </w:r>
      <w:r>
        <w:rPr>
          <w:u w:val="single"/>
        </w:rPr>
        <w:t xml:space="preserve">(b)</w:t>
      </w:r>
      <w:r>
        <w:rPr/>
        <w:t xml:space="preserve">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w:t>
      </w:r>
      <w:r>
        <w:t>((</w:t>
      </w:r>
      <w:r>
        <w:rPr>
          <w:strike/>
        </w:rPr>
        <w:t xml:space="preserve">(d)</w:t>
      </w:r>
      <w:r>
        <w:t>))</w:t>
      </w:r>
      <w:r>
        <w:rPr/>
        <w:t xml:space="preserve"> </w:t>
      </w:r>
      <w:r>
        <w:rPr>
          <w:u w:val="single"/>
        </w:rPr>
        <w:t xml:space="preserve">(c)</w:t>
      </w:r>
      <w:r>
        <w:rPr/>
        <w:t xml:space="preserve"> operating a cold storage warehouse or storage warehouse, but not including the rental of cold storage lockers; </w:t>
      </w:r>
      <w:r>
        <w:t>((</w:t>
      </w:r>
      <w:r>
        <w:rPr>
          <w:strike/>
        </w:rPr>
        <w:t xml:space="preserve">(e)</w:t>
      </w:r>
      <w:r>
        <w:t>))</w:t>
      </w:r>
      <w:r>
        <w:rPr/>
        <w:t xml:space="preserve"> </w:t>
      </w:r>
      <w:r>
        <w:rPr>
          <w:u w:val="single"/>
        </w:rPr>
        <w:t xml:space="preserve">(d)</w:t>
      </w:r>
      <w:r>
        <w:rPr/>
        <w:t xml:space="preserve"> representing and performing services for fire or casualty insurance companies as an independent resident managing general agent licensed under the provisions of chapter 48.17 RCW; </w:t>
      </w:r>
      <w:r>
        <w:t>((</w:t>
      </w:r>
      <w:r>
        <w:rPr>
          <w:strike/>
        </w:rPr>
        <w:t xml:space="preserve">(f)</w:t>
      </w:r>
      <w:r>
        <w:t>))</w:t>
      </w:r>
      <w:r>
        <w:rPr/>
        <w:t xml:space="preserve"> </w:t>
      </w:r>
      <w:r>
        <w:rPr>
          <w:u w:val="single"/>
        </w:rPr>
        <w:t xml:space="preserve">(e)</w:t>
      </w:r>
      <w:r>
        <w:rPr/>
        <w:t xml:space="preserve">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w:t>
      </w:r>
      <w:r>
        <w:t>((</w:t>
      </w:r>
      <w:r>
        <w:rPr>
          <w:strike/>
        </w:rPr>
        <w:t xml:space="preserve">(g)</w:t>
      </w:r>
      <w:r>
        <w:t>))</w:t>
      </w:r>
      <w:r>
        <w:rPr/>
        <w:t xml:space="preserve"> </w:t>
      </w:r>
      <w:r>
        <w:rPr>
          <w:u w:val="single"/>
        </w:rPr>
        <w:t xml:space="preserve">(f)</w:t>
      </w:r>
      <w:r>
        <w:rPr/>
        <w:t xml:space="preserve">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t>((</w:t>
      </w:r>
      <w:r>
        <w:rPr>
          <w:strike/>
        </w:rPr>
        <w:t xml:space="preserve">(c) "Periodical or magazine" means a printed publication, other than a newspaper, issued regularly at stated intervals at least once every three months, including any supplement or special edition of the publication.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2019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chapter . . ., Laws of 2019 (section 2 of this act) expires on the date that section 3, chapter . . ., Laws of 2019 (section 3 of this act) takes effect.</w:t>
      </w:r>
    </w:p>
    <w:p/>
    <w:p>
      <w:pPr>
        <w:jc w:val="center"/>
      </w:pPr>
      <w:r>
        <w:rPr>
          <w:b/>
        </w:rPr>
        <w:t>--- END ---</w:t>
      </w:r>
    </w:p>
    <w:sectPr>
      <w:pgNumType w:start="1"/>
      <w:footerReference xmlns:r="http://schemas.openxmlformats.org/officeDocument/2006/relationships" r:id="R4047015b168041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4f957f1394f38" /><Relationship Type="http://schemas.openxmlformats.org/officeDocument/2006/relationships/footer" Target="/word/footer1.xml" Id="R4047015b168041cb" /></Relationships>
</file>