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2f96969414b5e" /></Relationships>
</file>

<file path=word/document.xml><?xml version="1.0" encoding="utf-8"?>
<w:document xmlns:w="http://schemas.openxmlformats.org/wordprocessingml/2006/main">
  <w:body>
    <w:p>
      <w:r>
        <w:t>H-0691.1</w:t>
      </w:r>
    </w:p>
    <w:p>
      <w:pPr>
        <w:jc w:val="center"/>
      </w:pPr>
      <w:r>
        <w:t>_______________________________________________</w:t>
      </w:r>
    </w:p>
    <w:p/>
    <w:p>
      <w:pPr>
        <w:jc w:val="center"/>
      </w:pPr>
      <w:r>
        <w:rPr>
          <w:b/>
        </w:rPr>
        <w:t>HOUSE BILL 1465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Jinkins, and Santos</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pistol sales or transfers; amending RCW 9.41.090;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w:t>
      </w:r>
      <w:r>
        <w:t>((</w:t>
      </w:r>
      <w:r>
        <w:rPr>
          <w:strike/>
        </w:rPr>
        <w:t xml:space="preserve">The purchaser 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strike/>
        </w:rPr>
        <w:t xml:space="preserve">(b)</w:t>
      </w:r>
      <w:r>
        <w:t>))</w:t>
      </w:r>
      <w:r>
        <w:rPr/>
        <w:t xml:space="preserve"> The dealer is notified in writing by (i) the chief of police or the sheriff of the jurisdiction in which the purchaser resides that the purchaser is eligible to possess a pistol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requirements or time periods in RCW 9.41.092 have been satisfied.</w:t>
      </w:r>
    </w:p>
    <w:p>
      <w:pPr>
        <w:spacing w:before="0" w:after="0" w:line="408" w:lineRule="exact"/>
        <w:ind w:left="0" w:right="0" w:firstLine="576"/>
        <w:jc w:val="left"/>
      </w:pPr>
      <w:r>
        <w:rPr/>
        <w:t xml:space="preserve">(2) In addition to the other requirements of this chapter, no dealer may deliver a semiautomatic assault rifle to the purchaser thereof until:</w:t>
      </w:r>
    </w:p>
    <w:p>
      <w:pPr>
        <w:spacing w:before="0" w:after="0" w:line="408" w:lineRule="exact"/>
        <w:ind w:left="0" w:right="0" w:firstLine="576"/>
        <w:jc w:val="left"/>
      </w:pPr>
      <w:r>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t xml:space="preserve">(i) Basic firearms safety rules;</w:t>
      </w:r>
    </w:p>
    <w:p>
      <w:pPr>
        <w:spacing w:before="0" w:after="0" w:line="408" w:lineRule="exact"/>
        <w:ind w:left="0" w:right="0" w:firstLine="576"/>
        <w:jc w:val="left"/>
      </w:pPr>
      <w:r>
        <w:rPr/>
        <w:t xml:space="preserve">(ii) Firearms and children, including secure gun storage and talking to children about gun safety;</w:t>
      </w:r>
    </w:p>
    <w:p>
      <w:pPr>
        <w:spacing w:before="0" w:after="0" w:line="408" w:lineRule="exact"/>
        <w:ind w:left="0" w:right="0" w:firstLine="576"/>
        <w:jc w:val="left"/>
      </w:pPr>
      <w:r>
        <w:rPr/>
        <w:t xml:space="preserve">(iii) Firearms and suicide prevention;</w:t>
      </w:r>
    </w:p>
    <w:p>
      <w:pPr>
        <w:spacing w:before="0" w:after="0" w:line="408" w:lineRule="exact"/>
        <w:ind w:left="0" w:right="0" w:firstLine="576"/>
        <w:jc w:val="left"/>
      </w:pPr>
      <w:r>
        <w:rPr/>
        <w:t xml:space="preserve">(iv) Secure gun storage to prevent unauthorized access and use;</w:t>
      </w:r>
    </w:p>
    <w:p>
      <w:pPr>
        <w:spacing w:before="0" w:after="0" w:line="408" w:lineRule="exact"/>
        <w:ind w:left="0" w:right="0" w:firstLine="576"/>
        <w:jc w:val="left"/>
      </w:pPr>
      <w:r>
        <w:rPr/>
        <w:t xml:space="preserve">(v) Safe handling of firearms; and</w:t>
      </w:r>
    </w:p>
    <w:p>
      <w:pPr>
        <w:spacing w:before="0" w:after="0" w:line="408" w:lineRule="exact"/>
        <w:ind w:left="0" w:right="0" w:firstLine="576"/>
        <w:jc w:val="left"/>
      </w:pPr>
      <w:r>
        <w:rPr/>
        <w:t xml:space="preserve">(vi) State and federal firearms laws, including prohibited firearms transfers.</w:t>
      </w:r>
    </w:p>
    <w:p>
      <w:pPr>
        <w:spacing w:before="0" w:after="0" w:line="408" w:lineRule="exact"/>
        <w:ind w:left="0" w:right="0" w:firstLine="576"/>
        <w:jc w:val="left"/>
      </w:pPr>
      <w:r>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(3)(a) Except as provided in (b) of this subsection, in determining whether the purchaser meets the requirements of RCW 9.41.040, the chief of police or sheriff, or the designee of either,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t xml:space="preserve">(6)(a) At the time of applying for the purchase of a pistol or semiautomatic assault rifle, the purchaser shall sign in triplicate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pistol or semiautomatic assault rifle including the make, model, caliber and manufacturer's number if available at the time of applying for the purchase of a pistol or semiautomatic assault rifle. If the manufacturer's number is not available at the time of applying for the purchase of a pistol or semiautomatic assault rifle, the application may be processed, but delivery of the pistol or semiautomatic assault rifle to the purchaser may not occur unless the manufacturer's number is recorded on the application by the dealer and transmitted to the chief of police of the municipality or the sheriff of the county in which the purchaser resides, or the state pursuant to subsection (3)(b) of this section;</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 The triplicate shall be retained by the dealer for six years. The dealer shall deliver the pistol or semiautomatic assault rifle to the purchaser following the period of time specified in this chapter 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 The application shall not be denied unless the purchaser is not eligible to purchase or possess the firearm under state or federal law.</w:t>
      </w:r>
    </w:p>
    <w:p>
      <w:pPr>
        <w:spacing w:before="0" w:after="0" w:line="408" w:lineRule="exact"/>
        <w:ind w:left="0" w:right="0" w:firstLine="576"/>
        <w:jc w:val="left"/>
      </w:pPr>
      <w:r>
        <w:rPr/>
        <w:t xml:space="preserve">(d) The chief of police of the municipality or the sheriff of the county, or the state pursuant to subsection (3)(b) of this section, shall retain or destroy applications to purchase a pistol or semiautomatic assault rifle in accordance with the requirements of 18 U.S.C. Sec. 922.</w:t>
      </w:r>
    </w:p>
    <w:p>
      <w:pPr>
        <w:spacing w:before="0" w:after="0" w:line="408" w:lineRule="exact"/>
        <w:ind w:left="0" w:right="0" w:firstLine="576"/>
        <w:jc w:val="left"/>
      </w:pPr>
      <w:r>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t xml:space="preserve">(b) The fee under (a) of this subsection shall be no more than is necessary to fund the following:</w:t>
      </w:r>
    </w:p>
    <w:p>
      <w:pPr>
        <w:spacing w:before="0" w:after="0" w:line="408" w:lineRule="exact"/>
        <w:ind w:left="0" w:right="0" w:firstLine="576"/>
        <w:jc w:val="left"/>
      </w:pPr>
      <w:r>
        <w:rPr/>
        <w:t xml:space="preserve">(i) The state for the cost of meeting its obligations under this section;</w:t>
      </w:r>
    </w:p>
    <w:p>
      <w:pPr>
        <w:spacing w:before="0" w:after="0" w:line="408" w:lineRule="exact"/>
        <w:ind w:left="0" w:right="0" w:firstLine="576"/>
        <w:jc w:val="left"/>
      </w:pPr>
      <w:r>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t xml:space="preserve">(8)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rPr/>
        <w:t xml:space="preserve">(9)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b96c05cadad84e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961cf2b05467f" /><Relationship Type="http://schemas.openxmlformats.org/officeDocument/2006/relationships/footer" Target="/word/footer1.xml" Id="Rb96c05cadad84e59" /></Relationships>
</file>