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c09a8bc9c74dc6" /></Relationships>
</file>

<file path=word/document.xml><?xml version="1.0" encoding="utf-8"?>
<w:document xmlns:w="http://schemas.openxmlformats.org/wordprocessingml/2006/main">
  <w:body>
    <w:p>
      <w:r>
        <w:t>H-1391.2</w:t>
      </w:r>
    </w:p>
    <w:p>
      <w:pPr>
        <w:jc w:val="center"/>
      </w:pPr>
      <w:r>
        <w:t>_______________________________________________</w:t>
      </w:r>
    </w:p>
    <w:p/>
    <w:p>
      <w:pPr>
        <w:jc w:val="center"/>
      </w:pPr>
      <w:r>
        <w:rPr>
          <w:b/>
        </w:rPr>
        <w:t>SUBSTITUTE HOUSE BILL 1504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Klippert and Goodman)</w:t>
      </w:r>
    </w:p>
    <w:p/>
    <w:p>
      <w:r>
        <w:rPr>
          <w:t xml:space="preserve">READ FIRST TIME 02/11/19.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9.94A.533, 9.94A.729, 10.21.055, 18.360.030, 38.52.430, 46.20.245, 46.20.3101, 46.20.720, 46.20.740, 46.20.750, 46.55.113, 46.61.500, 46.61.503, 46.61.504, 46.61.5055, and 46.61.5055; reenacting and amending RCW 46.20.355; repealing RCW 43.43.3951;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w:t>
      </w:r>
      <w:r>
        <w:t>))</w:t>
      </w:r>
      <w:r>
        <w:rPr/>
        <w:t xml:space="preserve"> </w:t>
      </w:r>
      <w:r>
        <w:rPr>
          <w:u w:val="single"/>
        </w:rPr>
        <w:t xml:space="preserve">a</w:t>
      </w:r>
      <w:r>
        <w:rPr/>
        <w:t xml:space="preserve">s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t>((</w:t>
      </w:r>
      <w:r>
        <w:rPr>
          <w:strike/>
        </w:rPr>
        <w:t xml:space="preserve">(a)</w:t>
      </w:r>
      <w:r>
        <w:t>))</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t>((</w:t>
      </w:r>
      <w:r>
        <w:rPr>
          <w:strik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r>
        <w:t>))</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w:t>
      </w:r>
      <w:r>
        <w:t>((</w:t>
      </w:r>
      <w:r>
        <w:rPr>
          <w:strike/>
        </w:rPr>
        <w:t xml:space="preserve">0.025</w:t>
      </w:r>
      <w:r>
        <w:t>))</w:t>
      </w:r>
      <w:r>
        <w:rPr/>
        <w:t xml:space="preserve"> </w:t>
      </w:r>
      <w:r>
        <w:rPr>
          <w:u w:val="single"/>
        </w:rPr>
        <w:t xml:space="preserve">0.020</w:t>
      </w:r>
      <w:r>
        <w:rPr/>
        <w:t xml:space="preserve"> or lower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as described in RCW 46.61.504(2)</w:t>
      </w:r>
      <w:r>
        <w:rPr/>
        <w:t xml:space="preserve">.</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 vehicle is safely off the roadway if:</w:t>
      </w:r>
    </w:p>
    <w:p>
      <w:pPr>
        <w:spacing w:before="0" w:after="0" w:line="408" w:lineRule="exact"/>
        <w:ind w:left="0" w:right="0" w:firstLine="576"/>
        <w:jc w:val="left"/>
      </w:pPr>
      <w:r>
        <w:rPr>
          <w:u w:val="single"/>
        </w:rPr>
        <w:t xml:space="preserve">(a) The suspected impaired person is not in the driver's seat of the vehicle;</w:t>
      </w:r>
    </w:p>
    <w:p>
      <w:pPr>
        <w:spacing w:before="0" w:after="0" w:line="408" w:lineRule="exact"/>
        <w:ind w:left="0" w:right="0" w:firstLine="576"/>
        <w:jc w:val="left"/>
      </w:pPr>
      <w:r>
        <w:rPr>
          <w:u w:val="single"/>
        </w:rPr>
        <w:t xml:space="preserve">(b) The vehicle is not parked in an area designated for through traffic or in any place not authorized for motor vehicle traffic or parking; and</w:t>
      </w:r>
    </w:p>
    <w:p>
      <w:pPr>
        <w:spacing w:before="0" w:after="0" w:line="408" w:lineRule="exact"/>
        <w:ind w:left="0" w:right="0" w:firstLine="576"/>
        <w:jc w:val="left"/>
      </w:pPr>
      <w:r>
        <w:rPr>
          <w:u w:val="single"/>
        </w:rPr>
        <w:t xml:space="preserve">(c) The vehicle's engine is off.</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rPr>
          <w:u w:val="single"/>
        </w:rPr>
        <w:t xml:space="preserve">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the court shall state in writing the reason for granting the suspension and the facts upon which the suspension is based</w:t>
      </w:r>
      <w:r>
        <w:rPr/>
        <w:t xml:space="preserve">.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the court shall state in writing the reason for granting the suspension and the facts upon which the suspension is based</w:t>
      </w:r>
      <w:r>
        <w:rPr/>
        <w:t xml:space="preserve">.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six months </w:t>
      </w:r>
      <w:r>
        <w:rPr>
          <w:u w:val="single"/>
        </w:rPr>
        <w:t xml:space="preserve">for each passenger under the age of sixteen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2019 c . . . s 16 (section 16 of this act)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twenty-four consecutive hours nor more than three hundred sixty-four days. In lieu of the mandatory minimum term of imprisonment required under this subsection (1)(a)(i), the court, in its discretion,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forty-eight consecutive hours nor more than three hundred sixty-four days. In lieu of the mandatory minimum term of imprisonment required under this subsection (1)(b)(i), the court, in its discretion,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one hundred eighty days of electronic home monitoring or a one hundred twenty-day period of 24/7 sobriety program monitoring pursuant to RCW 36.28A.300 through 36.28A.390. Whenever the mandatory minimum sentence is suspended, the court shall state in writing the reason for granting the suspension and the facts upon which the suspension is based.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one hundred twenty-day period of 24/7 sobriety program monitoring pursuant to RCW 36.28A.300 through 36.28A.390. Whenever the mandatory minimum sentence is suspended, the court shall state in writing the reason for granting the suspension and the facts upon which the suspension is based.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ninety days of imprisonment and one hundred twenty days of electronic home monitoring, the court may order three hundred sixty days of electronic home monitoring or a three hundred sixty-day period of 24/7 sobriety monitoring pursuant to RCW 36.28A.300 through 36.28A.390. Whenever the mandatory minimum sentence is suspended, the court shall state in writing the reason for granting the suspension and the facts upon which the suspension is based.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one hundred twenty days of imprisonment and one hundred fifty days of electronic home monitoring, the court may order three hundred sixty days of electronic home monitoring or a three hundred sixty-day period of 24/7 sobriety monitoring pursuant to RCW 36.28A.300 through 36.28A.390. Whenever the mandatory minimum sentence is suspended, the court shall state in writing the reason for granting the suspension and the facts upon which the suspension is based.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sixteen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for each passenger under the age of sixteen </w:t>
      </w:r>
      <w:r>
        <w:rPr>
          <w:u w:val="single"/>
        </w:rPr>
        <w:t xml:space="preserve">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to be served consecutively for each passenger under the age of sixteen, and a fine of not less than one thousand dollars and not more than five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sixteen, and a fine of not less than two thousand dollars and not more than five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sixteen, and a fine of not less than three thousand dollars and not more than ten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w:t>
      </w:r>
      <w:r>
        <w:rPr>
          <w:u w:val="single"/>
        </w:rPr>
        <w:t xml:space="preserve">(i)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6 through 11, 13, and 17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January 1, 2020.</w:t>
      </w:r>
    </w:p>
    <w:p/>
    <w:p>
      <w:pPr>
        <w:jc w:val="center"/>
      </w:pPr>
      <w:r>
        <w:rPr>
          <w:b/>
        </w:rPr>
        <w:t>--- END ---</w:t>
      </w:r>
    </w:p>
    <w:sectPr>
      <w:pgNumType w:start="1"/>
      <w:footerReference xmlns:r="http://schemas.openxmlformats.org/officeDocument/2006/relationships" r:id="Ree328657d46e41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61c2e683b43eb" /><Relationship Type="http://schemas.openxmlformats.org/officeDocument/2006/relationships/footer" Target="/word/footer1.xml" Id="Ree328657d46e4154" /></Relationships>
</file>