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345dcda894001" /></Relationships>
</file>

<file path=word/document.xml><?xml version="1.0" encoding="utf-8"?>
<w:document xmlns:w="http://schemas.openxmlformats.org/wordprocessingml/2006/main">
  <w:body>
    <w:p>
      <w:r>
        <w:t>H-4823.1</w:t>
      </w:r>
    </w:p>
    <w:p>
      <w:pPr>
        <w:jc w:val="center"/>
      </w:pPr>
      <w:r>
        <w:t>_______________________________________________</w:t>
      </w:r>
    </w:p>
    <w:p/>
    <w:p>
      <w:pPr>
        <w:jc w:val="center"/>
      </w:pPr>
      <w:r>
        <w:rPr>
          <w:b/>
        </w:rPr>
        <w:t>THIRD SUBSTITUTE HOUSE BILL 1504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Klippert and Goodman)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9.94A.533, 9.94A.729, 10.21.055, 38.52.430, 46.20.245, 46.20.3101, 46.20.311, 46.20.385, 46.20.720, 46.20.740, 46.20.750, 46.55.113, 46.61.500, 46.61.5055, 46.61.5056, and 46.61.524; reenacting and amending RCW 46.20.355; repealing RCW 43.43.3951;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 As</w:t>
      </w:r>
      <w:r>
        <w:t>))</w:t>
      </w:r>
      <w:r>
        <w:rPr/>
        <w:t xml:space="preserve"> </w:t>
      </w:r>
      <w:r>
        <w:rPr>
          <w:u w:val="single"/>
        </w:rPr>
        <w:t xml:space="preserve">as</w:t>
      </w:r>
      <w:r>
        <w:rPr/>
        <w:t xml:space="preserve">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2016 c 203 s 12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w:t>
      </w:r>
      <w:r>
        <w:t>((</w:t>
      </w:r>
      <w:r>
        <w:rPr>
          <w:strike/>
        </w:rPr>
        <w:t xml:space="preserve">alcoholism</w:t>
      </w:r>
      <w:r>
        <w:t>))</w:t>
      </w:r>
      <w:r>
        <w:rPr/>
        <w:t xml:space="preserve"> </w:t>
      </w:r>
      <w:r>
        <w:rPr>
          <w:u w:val="single"/>
        </w:rPr>
        <w:t xml:space="preserve">substance use disorder</w:t>
      </w:r>
      <w:r>
        <w:rPr/>
        <w:t xml:space="preserve">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w:t>
      </w:r>
      <w:r>
        <w:t>((</w:t>
      </w:r>
      <w:r>
        <w:rPr>
          <w:strike/>
        </w:rPr>
        <w:t xml:space="preserve">alcohol or drug dependency</w:t>
      </w:r>
      <w:r>
        <w:t>))</w:t>
      </w:r>
      <w:r>
        <w:rPr/>
        <w:t xml:space="preserve"> </w:t>
      </w:r>
      <w:r>
        <w:rPr>
          <w:u w:val="single"/>
        </w:rPr>
        <w:t xml:space="preserve">substance use disorder</w:t>
      </w:r>
      <w:r>
        <w:rPr/>
        <w:t xml:space="preserve">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Except as provided in subsection (4) of this section, if</w:t>
      </w:r>
      <w:r>
        <w:rPr/>
        <w:t xml:space="preserve"> the suspension is the result of a violation of RCW 46.61.502 or 46.61.504, or is the result of administrative action under RCW 46.20.308, the reissue fee shall be one hundred </w:t>
      </w:r>
      <w:r>
        <w:t>((</w:t>
      </w:r>
      <w:r>
        <w:rPr>
          <w:strike/>
        </w:rPr>
        <w:t xml:space="preserve">fifty</w:t>
      </w:r>
      <w:r>
        <w:t>))</w:t>
      </w:r>
      <w:r>
        <w:rPr/>
        <w:t xml:space="preserve"> </w:t>
      </w:r>
      <w:r>
        <w:rPr>
          <w:u w:val="single"/>
        </w:rPr>
        <w:t xml:space="preserve">seventy-five</w:t>
      </w:r>
      <w:r>
        <w:rPr/>
        <w:t xml:space="preserve">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Except as provided in subsection (4) of this section, if</w:t>
      </w:r>
      <w:r>
        <w:rPr/>
        <w:t xml:space="preserve"> the revocation is the result of a violation of RCW 46.20.308, 46.61.502, or 46.61.504, the reissue fee shall be one hundred </w:t>
      </w:r>
      <w:r>
        <w:t>((</w:t>
      </w:r>
      <w:r>
        <w:rPr>
          <w:strike/>
        </w:rPr>
        <w:t xml:space="preserve">fifty</w:t>
      </w:r>
      <w:r>
        <w:t>))</w:t>
      </w:r>
      <w:r>
        <w:rPr/>
        <w:t xml:space="preserve"> </w:t>
      </w:r>
      <w:r>
        <w:rPr>
          <w:u w:val="single"/>
        </w:rPr>
        <w:t xml:space="preserve">seventy-five</w:t>
      </w:r>
      <w:r>
        <w:rPr/>
        <w:t xml:space="preserve"> dollars. If the revocation is the result of a nonfelony violation of RCW 46.61.502 or 46.61.504, the department shall determine the person's eligibility for licensing based upon the reports provided by the </w:t>
      </w:r>
      <w:r>
        <w:t>((</w:t>
      </w:r>
      <w:r>
        <w:rPr>
          <w:strike/>
        </w:rPr>
        <w:t xml:space="preserve">alcoholism</w:t>
      </w:r>
      <w:r>
        <w:t>))</w:t>
      </w:r>
      <w:r>
        <w:rPr/>
        <w:t xml:space="preserve"> </w:t>
      </w:r>
      <w:r>
        <w:rPr>
          <w:u w:val="single"/>
        </w:rPr>
        <w:t xml:space="preserve">substance use disorder</w:t>
      </w:r>
      <w:r>
        <w:rPr/>
        <w:t xml:space="preserve">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w:t>
      </w:r>
      <w:r>
        <w:t>((</w:t>
      </w:r>
      <w:r>
        <w:rPr>
          <w:strike/>
        </w:rPr>
        <w:t xml:space="preserve">alcohol or drug dependency</w:t>
      </w:r>
      <w:r>
        <w:t>))</w:t>
      </w:r>
      <w:r>
        <w:rPr/>
        <w:t xml:space="preserve"> </w:t>
      </w:r>
      <w:r>
        <w:rPr>
          <w:u w:val="single"/>
        </w:rPr>
        <w:t xml:space="preserve">substance use disorder</w:t>
      </w:r>
      <w:r>
        <w:rPr/>
        <w:t xml:space="preserve">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w:t>
      </w:r>
      <w:r>
        <w:t>((</w:t>
      </w:r>
      <w:r>
        <w:rPr>
          <w:strike/>
        </w:rPr>
        <w:t xml:space="preserve">If</w:t>
      </w:r>
      <w:r>
        <w:t>))</w:t>
      </w:r>
      <w:r>
        <w:rPr/>
        <w:t xml:space="preserve"> </w:t>
      </w:r>
      <w:r>
        <w:rPr>
          <w:u w:val="single"/>
        </w:rPr>
        <w:t xml:space="preserve">Except as provided in subsection (4) of this section, if</w:t>
      </w:r>
      <w:r>
        <w:rPr/>
        <w:t xml:space="preserve">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w:t>
      </w:r>
      <w:r>
        <w:t>((</w:t>
      </w:r>
      <w:r>
        <w:rPr>
          <w:strike/>
        </w:rPr>
        <w:t xml:space="preserve">fifty</w:t>
      </w:r>
      <w:r>
        <w:t>))</w:t>
      </w:r>
      <w:r>
        <w:rPr/>
        <w:t xml:space="preserve"> </w:t>
      </w:r>
      <w:r>
        <w:rPr>
          <w:u w:val="single"/>
        </w:rPr>
        <w:t xml:space="preserve">seventy-five</w:t>
      </w:r>
      <w:r>
        <w:rPr/>
        <w:t xml:space="preserve"> dollars.</w:t>
      </w:r>
    </w:p>
    <w:p>
      <w:pPr>
        <w:spacing w:before="0" w:after="0" w:line="408" w:lineRule="exact"/>
        <w:ind w:left="0" w:right="0" w:firstLine="576"/>
        <w:jc w:val="left"/>
      </w:pPr>
      <w:r>
        <w:rPr>
          <w:u w:val="single"/>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2017 c 336 s 4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w:t>
      </w:r>
      <w:r>
        <w:t>((</w:t>
      </w:r>
      <w:r>
        <w:rPr>
          <w:strike/>
        </w:rPr>
        <w:t xml:space="preserve">twenty</w:t>
      </w:r>
      <w:r>
        <w:t>))</w:t>
      </w:r>
      <w:r>
        <w:rPr/>
        <w:t xml:space="preserve"> </w:t>
      </w:r>
      <w:r>
        <w:rPr>
          <w:u w:val="single"/>
        </w:rPr>
        <w:t xml:space="preserve">twenty-one</w:t>
      </w:r>
      <w:r>
        <w:rPr/>
        <w:t xml:space="preserve"> dollars per month. Payments shall be made directly to the ignition interlock company. The company shall remit the additional fee to the department, except that the company may retain twenty-five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w:t>
      </w:r>
      <w:r>
        <w:t>((</w:t>
      </w:r>
      <w:r>
        <w:rPr>
          <w:strike/>
        </w:rPr>
        <w:t xml:space="preserve">twenty</w:t>
      </w:r>
      <w:r>
        <w:t>))</w:t>
      </w:r>
      <w:r>
        <w:rPr/>
        <w:t xml:space="preserve"> </w:t>
      </w:r>
      <w:r>
        <w:rPr>
          <w:u w:val="single"/>
        </w:rPr>
        <w:t xml:space="preserve">twenty-one</w:t>
      </w:r>
      <w:r>
        <w:rPr/>
        <w:t xml:space="preserv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2019 c 232 s 22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r>
        <w:rPr>
          <w:u w:val="single"/>
        </w:rPr>
        <w:t xml:space="preserve">, or upon fulfillment of day-for-day credit under RCW 46.61.5055(9)(b)(ii) for a suspension, revocation, or denial of driving privileges</w:t>
      </w:r>
      <w:r>
        <w:rPr/>
        <w:t xml:space="preserve">:</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w:t>
      </w:r>
      <w:r>
        <w:t>((</w:t>
      </w:r>
      <w:r>
        <w:rPr>
          <w:strike/>
        </w:rPr>
        <w:t xml:space="preserve">calibration setting</w:t>
      </w:r>
      <w:r>
        <w:t>))</w:t>
      </w:r>
      <w:r>
        <w:rPr/>
        <w:t xml:space="preserve"> </w:t>
      </w:r>
      <w:r>
        <w:rPr>
          <w:u w:val="single"/>
        </w:rPr>
        <w:t xml:space="preserve">alcohol set point</w:t>
      </w:r>
      <w:r>
        <w:rPr/>
        <w:t xml:space="preserve">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t>((</w:t>
      </w:r>
      <w:r>
        <w:rPr>
          <w:b/>
          <w:strike/>
        </w:rPr>
        <w:t xml:space="preserve">Calibration.</w:t>
      </w:r>
      <w:r>
        <w:t>))</w:t>
      </w:r>
      <w:r>
        <w:rPr>
          <w:b/>
        </w:rPr>
        <w:t xml:space="preserve"> </w:t>
      </w:r>
      <w:r>
        <w:rPr>
          <w:b/>
          <w:u w:val="single"/>
        </w:rPr>
        <w:t xml:space="preserve">Alcohol set point.</w:t>
      </w:r>
      <w:r>
        <w:rPr/>
        <w:t xml:space="preserve"> Unless otherwise specified by the court for a restriction imposed under subsection (1)(e) of this section, the ignition interlock device shall </w:t>
      </w:r>
      <w:r>
        <w:t>((</w:t>
      </w:r>
      <w:r>
        <w:rPr>
          <w:strike/>
        </w:rPr>
        <w:t xml:space="preserve">be calibrated to prevent</w:t>
      </w:r>
      <w:r>
        <w:t>))</w:t>
      </w:r>
      <w:r>
        <w:rPr/>
        <w:t xml:space="preserve"> </w:t>
      </w:r>
      <w:r>
        <w:rPr>
          <w:u w:val="single"/>
        </w:rPr>
        <w:t xml:space="preserve">have an alcohol set point that prevents</w:t>
      </w:r>
      <w:r>
        <w:rPr/>
        <w:t xml:space="preserve">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 passenger</w:t>
      </w:r>
      <w:r>
        <w:t>))</w:t>
      </w:r>
      <w:r>
        <w:rPr/>
        <w:t xml:space="preserve"> </w:t>
      </w:r>
      <w:r>
        <w:rPr>
          <w:u w:val="single"/>
        </w:rPr>
        <w:t xml:space="preserve">one or more passengers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 If the period of restriction under (c) or (d) of this subsection has been fulfilled and cannot be extended, the department must add a new one hundred eighty-day restriction that is imposed from the date of conviction and is subject to the requirements for removal under subsection (4) of this section.</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w:t>
      </w:r>
      <w:r>
        <w:t>((</w:t>
      </w:r>
      <w:r>
        <w:rPr>
          <w:strike/>
        </w:rPr>
        <w:t xml:space="preserve">that</w:t>
      </w:r>
      <w:r>
        <w:t>))</w:t>
      </w:r>
      <w:r>
        <w:rPr/>
        <w:t xml:space="preserve"> </w:t>
      </w:r>
      <w:r>
        <w:rPr>
          <w:u w:val="single"/>
        </w:rPr>
        <w:t xml:space="preserve">the following:</w:t>
      </w:r>
    </w:p>
    <w:p>
      <w:pPr>
        <w:spacing w:before="0" w:after="0" w:line="408" w:lineRule="exact"/>
        <w:ind w:left="0" w:right="0" w:firstLine="576"/>
        <w:jc w:val="left"/>
      </w:pPr>
      <w:r>
        <w:rPr>
          <w:u w:val="single"/>
        </w:rPr>
        <w:t xml:space="preserve">(a) That</w:t>
      </w:r>
      <w:r>
        <w:rPr/>
        <w:t xml:space="preserve"> there have been none of the following incidents in the one hundred eighty consecutive days prior to the date of release: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Failure to pass any random retest with a breath alcohol concentration of </w:t>
      </w:r>
      <w:r>
        <w:t>((</w:t>
      </w:r>
      <w:r>
        <w:rPr>
          <w:strike/>
        </w:rPr>
        <w:t xml:space="preserve">0.025 or</w:t>
      </w:r>
      <w:r>
        <w:t>))</w:t>
      </w:r>
      <w:r>
        <w:rPr/>
        <w:t xml:space="preserve"> lower </w:t>
      </w:r>
      <w:r>
        <w:rPr>
          <w:u w:val="single"/>
        </w:rPr>
        <w:t xml:space="preserve">than 0.020</w:t>
      </w:r>
      <w:r>
        <w:rPr/>
        <w:t xml:space="preserve">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(iv)</w:t>
      </w:r>
      <w:r>
        <w:rPr/>
        <w:t xml:space="preserve"> Failure of the person to appear at the ignition interlock device vendor when required for maintenance, repair, calibration, monitoring, inspection, or replacement of the device</w:t>
      </w:r>
      <w:r>
        <w:rPr>
          <w:u w:val="single"/>
        </w:rPr>
        <w:t xml:space="preserve">; or</w:t>
      </w:r>
    </w:p>
    <w:p>
      <w:pPr>
        <w:spacing w:before="0" w:after="0" w:line="408" w:lineRule="exact"/>
        <w:ind w:left="0" w:right="0" w:firstLine="576"/>
        <w:jc w:val="left"/>
      </w:pPr>
      <w:r>
        <w:rPr>
          <w:u w:val="single"/>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u w:val="single"/>
        </w:rPr>
        <w:t xml:space="preserve">(b) That the ignition interlock device was inspected at the conclusion of the one hundred eighty-day period by an ignition interlock technician certified by the Washington state patrol and no evidence was found that the device was tampered with in the manner described in RCW 46.20.750</w:t>
      </w:r>
      <w:r>
        <w:rPr/>
        <w:t xml:space="preserv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t>
      </w:r>
      <w:r>
        <w:rPr>
          <w:u w:val="single"/>
        </w:rPr>
        <w:t xml:space="preserve">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w:t>
      </w:r>
      <w:r>
        <w:t>))</w:t>
      </w:r>
      <w:r>
        <w:rPr/>
        <w:t xml:space="preserve"> </w:t>
      </w:r>
      <w:r>
        <w:rPr>
          <w:u w:val="single"/>
        </w:rPr>
        <w:t xml:space="preserve">twenty-one</w:t>
      </w:r>
      <w:r>
        <w:rPr/>
        <w:t xml:space="preserve">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w:t>
      </w:r>
      <w:r>
        <w:rPr/>
        <w:t xml:space="preserve">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w:t>
      </w:r>
      <w:r>
        <w:rPr>
          <w:u w:val="single"/>
        </w:rPr>
        <w:t xml:space="preserve">or any components of the device, or otherwise interferes with the proper functionality of the device,</w:t>
      </w:r>
      <w:r>
        <w:rPr/>
        <w:t xml:space="preserv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w:t>
      </w:r>
      <w:r>
        <w:rPr>
          <w:u w:val="single"/>
        </w:rPr>
        <w:t xml:space="preserve">or any components of the device, or otherwise interfere with the proper functionality of the device,</w:t>
      </w:r>
      <w:r>
        <w:rPr/>
        <w:t xml:space="preserv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w:t>
      </w:r>
      <w:r>
        <w:rPr>
          <w:u w:val="single"/>
        </w:rPr>
        <w:t xml:space="preserve">or any components of the device, or otherwise interfere with the proper functionality of the device,</w:t>
      </w:r>
      <w:r>
        <w:rPr/>
        <w:t xml:space="preserv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or converted, the court shall state in writing the reason for granting the suspension or conversion and the facts upon which the suspension or conversion is based.</w:t>
      </w:r>
      <w:r>
        <w:rPr/>
        <w:t xml:space="preserve"> The court may consider the offender's pretrial 24/7 sobriety program monitoring as fulfilling a portion of posttrial sentencing.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t>((</w:t>
      </w:r>
      <w:r>
        <w:rPr>
          <w:strike/>
        </w:rPr>
        <w:t xml:space="preserve">In</w:t>
      </w:r>
      <w:r>
        <w:t>))</w:t>
      </w:r>
      <w:r>
        <w:rPr/>
        <w:t xml:space="preserve"> </w:t>
      </w:r>
      <w:r>
        <w:rPr>
          <w:u w:val="single"/>
        </w:rPr>
        <w:t xml:space="preserve">Forty-five days of imprisonment and ninety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w:t>
      </w:r>
      <w:r>
        <w:rPr/>
        <w:t xml:space="preserve">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or converted, the court shall state in writing the reason for granting the suspension or conversion and the facts upon which the suspension or conversion is based.</w:t>
      </w:r>
      <w:r>
        <w:rPr/>
        <w:t xml:space="preserve"> The court may consider the offender's pretrial 24/7 sobriety program monitoring as fulfilling a portion of posttrial sentencing.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w:t>
      </w:r>
      <w:r>
        <w:rPr/>
        <w:t xml:space="preserve">.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or converted, the court shall state in writing the reason for granting the suspension or conversion and the facts upon which the suspension or conversion is based</w:t>
      </w:r>
      <w:r>
        <w:rPr/>
        <w:t xml:space="preserve">. The offender shall pay for the cost of the electronic monitoring.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w:t>
      </w:r>
      <w:r>
        <w:t>((</w:t>
      </w:r>
      <w:r>
        <w:rPr>
          <w:strike/>
        </w:rPr>
        <w:t xml:space="preserve">alcohol</w:t>
      </w:r>
      <w:r>
        <w:t>))</w:t>
      </w:r>
      <w:r>
        <w:rPr/>
        <w:t xml:space="preserve"> </w:t>
      </w:r>
      <w:r>
        <w:rPr>
          <w:u w:val="single"/>
        </w:rPr>
        <w:t xml:space="preserve">substance use disorder</w:t>
      </w:r>
      <w:r>
        <w:rPr/>
        <w:t xml:space="preserve">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w:t>
      </w:r>
      <w:r>
        <w:t>((</w:t>
      </w:r>
      <w:r>
        <w:rPr>
          <w:strike/>
        </w:rPr>
        <w:t xml:space="preserve">alcohol or drug</w:t>
      </w:r>
      <w:r>
        <w:t>))</w:t>
      </w:r>
      <w:r>
        <w:rPr/>
        <w:t xml:space="preserve"> </w:t>
      </w:r>
      <w:r>
        <w:rPr>
          <w:u w:val="single"/>
        </w:rPr>
        <w:t xml:space="preserve">substance use disorder</w:t>
      </w:r>
      <w:r>
        <w:rPr/>
        <w:t xml:space="preserve">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2018 c 201 s 9010 are each amended to read as follows:</w:t>
      </w:r>
    </w:p>
    <w:p>
      <w:pPr>
        <w:spacing w:before="0" w:after="0" w:line="408" w:lineRule="exact"/>
        <w:ind w:left="0" w:right="0" w:firstLine="576"/>
        <w:jc w:val="left"/>
      </w:pPr>
      <w:r>
        <w:rPr/>
        <w:t xml:space="preserve">(1) A person subject to </w:t>
      </w:r>
      <w:r>
        <w:t>((</w:t>
      </w:r>
      <w:r>
        <w:rPr>
          <w:strike/>
        </w:rPr>
        <w:t xml:space="preserve">alcohol</w:t>
      </w:r>
      <w:r>
        <w:t>))</w:t>
      </w:r>
      <w:r>
        <w:rPr/>
        <w:t xml:space="preserve"> </w:t>
      </w:r>
      <w:r>
        <w:rPr>
          <w:u w:val="single"/>
        </w:rPr>
        <w:t xml:space="preserve">substance use disorder</w:t>
      </w:r>
      <w:r>
        <w:rPr/>
        <w:t xml:space="preserve"> assessment and treatment under RCW 46.61.5055 shall be required by the court to complete a course in an alcohol and drug information school licensed or certified by the department of health or to complete more intensive treatment in a substance use disorder treatment program licensed or certified by the department of health,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 substance use disorder treatment program licensed or certified by the department of health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and drug information school licensed or certified by the department of health or more intensive treatment in an approved substance use disorder treatment program licensed or certified by the department of health.</w:t>
      </w:r>
    </w:p>
    <w:p>
      <w:pPr>
        <w:spacing w:before="0" w:after="0" w:line="408" w:lineRule="exact"/>
        <w:ind w:left="0" w:right="0" w:firstLine="576"/>
        <w:jc w:val="left"/>
      </w:pPr>
      <w:r>
        <w:rPr/>
        <w:t xml:space="preserve">(3) Standards for approval for </w:t>
      </w:r>
      <w:r>
        <w:t>((</w:t>
      </w:r>
      <w:r>
        <w:rPr>
          <w:strike/>
        </w:rPr>
        <w:t xml:space="preserve">alcohol</w:t>
      </w:r>
      <w:r>
        <w:t>))</w:t>
      </w:r>
      <w:r>
        <w:rPr/>
        <w:t xml:space="preserve"> </w:t>
      </w:r>
      <w:r>
        <w:rPr>
          <w:u w:val="single"/>
        </w:rPr>
        <w:t xml:space="preserve">substance use disorder</w:t>
      </w:r>
      <w:r>
        <w:rPr/>
        <w:t xml:space="preserve"> treatment programs shall be prescribed by the department of health. The department of health shall periodically review the costs of alcohol and drug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health of any failure by an agency to so report noncompliance. Any agency with knowledge of noncompliance that fails to so report shall be fined two hundred fifty dollars by the department of health. Upon three such failures by an agency within one year, the department of health shall revoke the agency's license or certification under this section.</w:t>
      </w:r>
    </w:p>
    <w:p>
      <w:pPr>
        <w:spacing w:before="0" w:after="0" w:line="408" w:lineRule="exact"/>
        <w:ind w:left="0" w:right="0" w:firstLine="576"/>
        <w:jc w:val="left"/>
      </w:pPr>
      <w:r>
        <w:rPr/>
        <w:t xml:space="preserve">(5) The department of licensing and the department of health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524</w:t>
      </w:r>
      <w:r>
        <w:rPr/>
        <w:t xml:space="preserve"> and 2008 c 231 s 46 are each amended to read as follows:</w:t>
      </w:r>
    </w:p>
    <w:p>
      <w:pPr>
        <w:spacing w:before="0" w:after="0" w:line="408" w:lineRule="exact"/>
        <w:ind w:left="0" w:right="0" w:firstLine="576"/>
        <w:jc w:val="left"/>
      </w:pPr>
      <w:r>
        <w:rPr/>
        <w:t xml:space="preserve">As provided for under RCW 46.20.285, the department shall revoke the license, permit to drive, or a nonresident privilege of a person convicted of vehicular homicide under RCW 46.61.520 or vehicular assault under RCW 46.61.522. The department shall determine the eligibility of a person convicted of vehicular homicide under RCW 46.61.520(1)(a) or vehicular assault under RCW 46.61.522(1)(b) to receive a license based upon the report provided by the designated </w:t>
      </w:r>
      <w:r>
        <w:t>((</w:t>
      </w:r>
      <w:r>
        <w:rPr>
          <w:strike/>
        </w:rPr>
        <w:t xml:space="preserve">alcoholism</w:t>
      </w:r>
      <w:r>
        <w:t>))</w:t>
      </w:r>
      <w:r>
        <w:rPr/>
        <w:t xml:space="preserve"> </w:t>
      </w:r>
      <w:r>
        <w:rPr>
          <w:u w:val="single"/>
        </w:rPr>
        <w:t xml:space="preserve">substance use disorder</w:t>
      </w:r>
      <w:r>
        <w:rPr/>
        <w:t xml:space="preserve"> treatment facility or probation department designated pursuant to RCW 9.94A.703(4)(b), and shall deny reinstatement until satisfactory progress in an approved program has been established and the person is otherwise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12, and 14 through 17 of this act take effect January 1, 2022.</w:t>
      </w:r>
    </w:p>
    <w:p/>
    <w:p>
      <w:pPr>
        <w:jc w:val="center"/>
      </w:pPr>
      <w:r>
        <w:rPr>
          <w:b/>
        </w:rPr>
        <w:t>--- END ---</w:t>
      </w:r>
    </w:p>
    <w:sectPr>
      <w:pgNumType w:start="1"/>
      <w:footerReference xmlns:r="http://schemas.openxmlformats.org/officeDocument/2006/relationships" r:id="Rd82bf46468ff4e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c4d873297e492d" /><Relationship Type="http://schemas.openxmlformats.org/officeDocument/2006/relationships/footer" Target="/word/footer1.xml" Id="Rd82bf46468ff4ef2" /></Relationships>
</file>