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96b5b326f4d2e" /></Relationships>
</file>

<file path=word/document.xml><?xml version="1.0" encoding="utf-8"?>
<w:document xmlns:w="http://schemas.openxmlformats.org/wordprocessingml/2006/main">
  <w:body>
    <w:p>
      <w:r>
        <w:t>H-1043.1</w:t>
      </w:r>
    </w:p>
    <w:p>
      <w:pPr>
        <w:jc w:val="center"/>
      </w:pPr>
      <w:r>
        <w:t>_______________________________________________</w:t>
      </w:r>
    </w:p>
    <w:p/>
    <w:p>
      <w:pPr>
        <w:jc w:val="center"/>
      </w:pPr>
      <w:r>
        <w:rPr>
          <w:b/>
        </w:rPr>
        <w:t>HOUSE BILL 1566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Chapman, and Shea</w:t>
      </w:r>
    </w:p>
    <w:p/>
    <w:p>
      <w:r>
        <w:rPr>
          <w:t xml:space="preserve">Read first time 01/24/19.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economic growth by providing a state business tax credit for new employment positions;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conditions in this section, an eligible person is allowed a credit against the tax due under this chapter. The credit is based on qualified employment positions in eligible areas. In order to receive the credit, the employment activities must take place at a business within the eligible area.</w:t>
      </w:r>
    </w:p>
    <w:p>
      <w:pPr>
        <w:spacing w:before="0" w:after="0" w:line="408" w:lineRule="exact"/>
        <w:ind w:left="0" w:right="0" w:firstLine="576"/>
        <w:jc w:val="left"/>
      </w:pPr>
      <w:r>
        <w:rPr/>
        <w:t xml:space="preserve">(2)(a) The credit is two hundred seventy-five dollars for each qualified employment position created after July 1, 2019,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Credit may not be taken for hiring of persons into positions that exist on July 1, 2019. Credit is authorized for new employees hired for new positions created after July 1, 2019.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(4) By December 1st of each year, the department will determine eligible areas for the following calendar year. An area remains an eligible area for three consecutive years from the year the area was last determined to be an eligible area. Qualified employment positions created prior to any calendar year in which an area is later determined to be ineligible under this subsection continue to earn credit as provided under subsection (2)(a) of this section.</w:t>
      </w:r>
    </w:p>
    <w:p>
      <w:pPr>
        <w:spacing w:before="0" w:after="0" w:line="408" w:lineRule="exact"/>
        <w:ind w:left="0" w:right="0" w:firstLine="576"/>
        <w:jc w:val="left"/>
      </w:pPr>
      <w:r>
        <w:rPr/>
        <w:t xml:space="preserve">(5) If at any time the department finds that a person is not eligible for tax credit under this section, the amount of taxes for which a credit has been claimed is immediately due. The department must assess interest, but not penalties, on the credited taxes for which the person is not eligible. The interest must be assessed at the rate provided for delinquent excise taxes under chapter 82.32 RCW, must be assessed retroactively to the date the tax credit was taken, and must accrue until the taxes for which a credit has been used are repaid.</w:t>
      </w:r>
    </w:p>
    <w:p>
      <w:pPr>
        <w:spacing w:before="0" w:after="0" w:line="408" w:lineRule="exact"/>
        <w:ind w:left="0" w:right="0" w:firstLine="576"/>
        <w:jc w:val="left"/>
      </w:pPr>
      <w:r>
        <w:rPr/>
        <w:t xml:space="preserve">(6) The employment security department must provide the department of revenue any information needed by the department of revenue to verify eligibility under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"Average annual wage for the county" is the average annual wage reported by the employment security department in its quarterly census of employment and wages for the calendar year prior to the year of employment.</w:t>
      </w:r>
    </w:p>
    <w:p>
      <w:pPr>
        <w:spacing w:before="0" w:after="0" w:line="408" w:lineRule="exact"/>
        <w:ind w:left="0" w:right="0" w:firstLine="576"/>
        <w:jc w:val="left"/>
      </w:pPr>
      <w:r>
        <w:rPr/>
        <w:t xml:space="preserve">(b) "Eligible area" means a county in which the county unemployment rate is at least twenty-five percent greater than the statewide unemployment rate.</w:t>
      </w:r>
    </w:p>
    <w:p>
      <w:pPr>
        <w:spacing w:before="0" w:after="0" w:line="408" w:lineRule="exact"/>
        <w:ind w:left="0" w:right="0" w:firstLine="576"/>
        <w:jc w:val="left"/>
      </w:pPr>
      <w:r>
        <w:rPr/>
        <w:t xml:space="preserve">(c) "Eligible person" means a person who in an eligible area at a specific location is engaged in business activities.</w:t>
      </w:r>
    </w:p>
    <w:p>
      <w:pPr>
        <w:spacing w:before="0" w:after="0" w:line="408" w:lineRule="exact"/>
        <w:ind w:left="0" w:right="0" w:firstLine="576"/>
        <w:jc w:val="left"/>
      </w:pPr>
      <w:r>
        <w:rPr/>
        <w:t xml:space="preserve">(d) "Qualified employment position" means a permanent full-time position for the eligible person with annual wages exceeding the average annual wage for the county.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(e) "Unemployment rate" means the unemployment rate for the state and counties provided by the employment security department in the Washington state seasonally adjusted monthly employment report for September of the prior year; however, for employment positions created between July 1, 2019, and December 31, 2019, the monthly employment report for April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b2d33386b9f4c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bb61d028b4c4d" /><Relationship Type="http://schemas.openxmlformats.org/officeDocument/2006/relationships/footer" Target="/word/footer1.xml" Id="R2b2d33386b9f4ce4" /></Relationships>
</file>