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bacf08db1f4630" /></Relationships>
</file>

<file path=word/document.xml><?xml version="1.0" encoding="utf-8"?>
<w:document xmlns:w="http://schemas.openxmlformats.org/wordprocessingml/2006/main">
  <w:body>
    <w:p>
      <w:r>
        <w:t>Z-0439.1</w:t>
      </w:r>
    </w:p>
    <w:p>
      <w:pPr>
        <w:jc w:val="center"/>
      </w:pPr>
      <w:r>
        <w:t>_______________________________________________</w:t>
      </w:r>
    </w:p>
    <w:p/>
    <w:p>
      <w:pPr>
        <w:jc w:val="center"/>
      </w:pPr>
      <w:r>
        <w:rPr>
          <w:b/>
        </w:rPr>
        <w:t>HOUSE BILL 1578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Peterson, Doglio, Fitzgibbon, Shewmake, Robinson, Slatter, Valdez, Bergquist, Morris, Stanford, Tharinger, Cody, Jinkins, Kloba, Pollet, Frame, Davis, and Macri; by request of Office of the Governor</w:t>
      </w:r>
    </w:p>
    <w:p/>
    <w:p>
      <w:r>
        <w:rPr>
          <w:t xml:space="preserve">Read first time 01/24/19.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threats to southern resident killer whales by improving the safety of oil transportation; amending RCW 88.16.190, 88.46.240, 90.56.565, and 88.46.165; adding a new section to chapter 88.16 RCW; adding new sections to chapter 88.46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fishing rights of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spur international discussions among federal, state, provincial, and industry leaders in the United States and Canada to develop an agreement for the shared funding of an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and twenty-five thousand </w:t>
      </w:r>
      <w:r>
        <w:rPr>
          <w:u w:val="single"/>
        </w:rPr>
        <w:t xml:space="preserve">metric</w:t>
      </w:r>
      <w:r>
        <w:rPr/>
        <w:t xml:space="preserve"> deadweight tons shall be prohibited from proceeding beyond a point east of a line extending from Discovery Island light south to New Dungeness light.</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metric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metric deadweight tons of the escorted oil tanker.</w:t>
      </w:r>
    </w:p>
    <w:p>
      <w:pPr>
        <w:spacing w:before="0" w:after="0" w:line="408" w:lineRule="exact"/>
        <w:ind w:left="0" w:right="0" w:firstLine="576"/>
        <w:jc w:val="left"/>
      </w:pPr>
      <w:r>
        <w:rPr>
          <w:u w:val="single"/>
        </w:rPr>
        <w:t xml:space="preserve">(ii) Effective October 1, 2019, oil tankers of less than forty thousand metric deadweight tons, and articulated tug barges and waterborne vessels or barges of greater than five thousand metric deadweight tons may operate in Rosario Strait and connected waterways to the east only if the vessel is under the escort of a tug or tugs that have an aggregate shaft horsepower equivalent to at least five percent of the metric deadweight tons of a forty thousand metric deadweight ton oil tanker. The requirements of this subsection may be adjusted by rule by the board of pilotage commissioners, consistent with section 3(3)(b) of this act.</w:t>
      </w:r>
    </w:p>
    <w:p>
      <w:pPr>
        <w:spacing w:before="0" w:after="0" w:line="408" w:lineRule="exact"/>
        <w:ind w:left="0" w:right="0" w:firstLine="576"/>
        <w:jc w:val="left"/>
      </w:pPr>
      <w:r>
        <w:rPr>
          <w:u w:val="single"/>
        </w:rPr>
        <w:t xml:space="preserve">(b) An oil tanker, articulated tug barge, or waterborne vessel or barge in ballast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w:t>
      </w:r>
      <w:r>
        <w:rPr>
          <w:u w:val="single"/>
        </w:rPr>
        <w:t xml:space="preserve">metric</w:t>
      </w:r>
      <w:r>
        <w:rPr/>
        <w:t xml:space="preserve">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includes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for oil tankers of less than forty thousand metric deadweight tons, articulated tug barges, and waterborne vessels or barges of greater than five thousand metric deadweight tons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those requirements.</w:t>
      </w:r>
    </w:p>
    <w:p>
      <w:pPr>
        <w:spacing w:before="0" w:after="0" w:line="408" w:lineRule="exact"/>
        <w:ind w:left="0" w:right="0" w:firstLine="576"/>
        <w:jc w:val="left"/>
      </w:pPr>
      <w:r>
        <w:rPr/>
        <w:t xml:space="preserve">(b) To achieve the rule-making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 identify and define the zones, specified in subsection (3)(a) of this section, to inform the analysis required under subsection (5) of this section; and</w:t>
      </w:r>
    </w:p>
    <w:p>
      <w:pPr>
        <w:spacing w:before="0" w:after="0" w:line="408" w:lineRule="exact"/>
        <w:ind w:left="0" w:right="0" w:firstLine="576"/>
        <w:jc w:val="left"/>
      </w:pPr>
      <w:r>
        <w:rPr/>
        <w:t xml:space="preserve">(ii) By September 1, 2023, consult with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of tribes with usual and accustomed fishing rights in these areas; and</w:t>
      </w:r>
    </w:p>
    <w:p>
      <w:pPr>
        <w:spacing w:before="0" w:after="0" w:line="408" w:lineRule="exact"/>
        <w:ind w:left="0" w:right="0" w:firstLine="576"/>
        <w:jc w:val="left"/>
      </w:pPr>
      <w:r>
        <w:rPr/>
        <w:t xml:space="preserve">(d) The recommendations included in the southern resident orca task force report, November 2018.</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Make decisions about risk protection on the basis of geographic zones in the waters specified in subsection (1)(a)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 and</w:t>
      </w:r>
    </w:p>
    <w:p>
      <w:pPr>
        <w:spacing w:before="0" w:after="0" w:line="408" w:lineRule="exact"/>
        <w:ind w:left="0" w:right="0" w:firstLine="576"/>
        <w:jc w:val="left"/>
      </w:pPr>
      <w:r>
        <w:rPr/>
        <w:t xml:space="preserve">(d) Be designed to achieve best achievable protection, as defined under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w:t>
      </w:r>
    </w:p>
    <w:p>
      <w:pPr>
        <w:spacing w:before="0" w:after="0" w:line="408" w:lineRule="exact"/>
        <w:ind w:left="0" w:right="0" w:firstLine="576"/>
        <w:jc w:val="left"/>
      </w:pPr>
      <w:r>
        <w:rPr/>
        <w:t xml:space="preserve">(4) The rules adopted under this section may not require oil tankers, articulated tug barges, waterborne vessels, or barges to be under the escort of a tug when these vessels are in ballast.</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5 of this act. The board of pilotage commissioners may:</w:t>
      </w:r>
    </w:p>
    <w:p>
      <w:pPr>
        <w:spacing w:before="0" w:after="0" w:line="408" w:lineRule="exact"/>
        <w:ind w:left="0" w:right="0" w:firstLine="576"/>
        <w:jc w:val="left"/>
      </w:pPr>
      <w:r>
        <w:rPr/>
        <w:t xml:space="preserve">(a) Develop subsets of oil tankers of less than forty thousand metric deadweight tons, and articulated tug barges and waterborne vessels or barges of greater than five thousand metric deadweight tons, and situations that could preclude the requirements of the rule making for a given zone or vessel; and</w:t>
      </w:r>
    </w:p>
    <w:p>
      <w:pPr>
        <w:spacing w:before="0" w:after="0" w:line="408" w:lineRule="exact"/>
        <w:ind w:left="0" w:right="0" w:firstLine="576"/>
        <w:jc w:val="left"/>
      </w:pPr>
      <w:r>
        <w:rPr/>
        <w:t xml:space="preserve">(b) Enter into an interagency agreement with the department of ecology to assist with conducting the analysis and developing the rules.</w:t>
      </w:r>
    </w:p>
    <w:p>
      <w:pPr>
        <w:spacing w:before="0" w:after="0" w:line="408" w:lineRule="exact"/>
        <w:ind w:left="0" w:right="0" w:firstLine="576"/>
        <w:jc w:val="left"/>
      </w:pPr>
      <w:r>
        <w:rPr/>
        <w:t xml:space="preserve">(6) The board of pilotage commissioners must consult with the United States coast guard, the Puget Sound harbor safety committee, treaty tribes, ports, local governments, state agencies, and other appropriate entities before adopting tug escort rules for Puget Sound. Considering relevant information elicited during the consultations required under this subsection, the board of pilotage commissioners must also design the rules with a goal of avoiding or minimizing the impacts of underwater noise from vessels in the Salish Sea, focusing vessel traffic into established shipping lanes, protecting and minimizing vessel traffic impacts to established treaty fishing areas, and respecting and preserving the treaty-protected fishing rights of federally recognized Indian tribes in the Salish Sea.</w:t>
      </w:r>
    </w:p>
    <w:p>
      <w:pPr>
        <w:spacing w:before="0" w:after="0" w:line="408" w:lineRule="exact"/>
        <w:ind w:left="0" w:right="0" w:firstLine="576"/>
        <w:jc w:val="left"/>
      </w:pPr>
      <w:r>
        <w:rPr/>
        <w:t xml:space="preserve">(7) Rules adopted under this section must be periodically updated consistent with section 6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"Waterborne vessels or barges" includes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may adopt rules to require the owners and operators of covered vessels transiting to or from a Washington port through Haro Strait, Boundary Pass, or Rosario Strait to collectively establish and fund an emergency response system that provides for an emergency response towing vessel in a manner similar to the requirements of RCW 88.46.125 through 88.46.139. These rules must:</w:t>
      </w:r>
    </w:p>
    <w:p>
      <w:pPr>
        <w:spacing w:before="0" w:after="0" w:line="408" w:lineRule="exact"/>
        <w:ind w:left="0" w:right="0" w:firstLine="576"/>
        <w:jc w:val="left"/>
      </w:pPr>
      <w:r>
        <w:rPr/>
        <w:t xml:space="preserve">(a) Require that an emergency response towing vessel be stationed in the vicinity of the San Juan Islands and be able to respond immediately to a vessel in distress in Haro Strait, Boundary Pass, Rosario Strait, and connected navigable waterways;</w:t>
      </w:r>
    </w:p>
    <w:p>
      <w:pPr>
        <w:spacing w:before="0" w:after="0" w:line="408" w:lineRule="exact"/>
        <w:ind w:left="0" w:right="0" w:firstLine="576"/>
        <w:jc w:val="left"/>
      </w:pPr>
      <w:r>
        <w:rPr/>
        <w:t xml:space="preserve">(b) Establish minimum deployment and equipment standards for an emergency response towing vessel, which may include requirements related to the speed and availability of the vessel for deployment, the functionality of the vessel in severe weather conditions, and other operational capabilities;</w:t>
      </w:r>
    </w:p>
    <w:p>
      <w:pPr>
        <w:spacing w:before="0" w:after="0" w:line="408" w:lineRule="exact"/>
        <w:ind w:left="0" w:right="0" w:firstLine="576"/>
        <w:jc w:val="left"/>
      </w:pPr>
      <w:r>
        <w:rPr/>
        <w:t xml:space="preserve">(c) Allow the requirements of this section to be fulfilled by one or more private organizations or nonprofit cooperatives providing umbrella coverage under contract to single or multiple covered vessels;</w:t>
      </w:r>
    </w:p>
    <w:p>
      <w:pPr>
        <w:spacing w:before="0" w:after="0" w:line="408" w:lineRule="exact"/>
        <w:ind w:left="0" w:right="0" w:firstLine="576"/>
        <w:jc w:val="left"/>
      </w:pPr>
      <w:r>
        <w:rPr/>
        <w:t xml:space="preserve">(d) Allow the department, at its discretion, to contract with the emergency response towing vessel in response to a potentially emerging maritime casualty or as a precautionary measure during severe storms. In all instances of use by the department, the department must be responsible for the cost of its use of an emergency response towing vessel;</w:t>
      </w:r>
    </w:p>
    <w:p>
      <w:pPr>
        <w:spacing w:before="0" w:after="0" w:line="408" w:lineRule="exact"/>
        <w:ind w:left="0" w:right="0" w:firstLine="576"/>
        <w:jc w:val="left"/>
      </w:pPr>
      <w:r>
        <w:rPr/>
        <w:t xml:space="preserve">(e) Not allow the emergency response towing vessel to be restricted from responding to distressed vessels that are not covered vessels;</w:t>
      </w:r>
    </w:p>
    <w:p>
      <w:pPr>
        <w:spacing w:before="0" w:after="0" w:line="408" w:lineRule="exact"/>
        <w:ind w:left="0" w:right="0" w:firstLine="576"/>
        <w:jc w:val="left"/>
      </w:pPr>
      <w:r>
        <w:rPr/>
        <w:t xml:space="preserve">(f) Require the owner or operator of a vessel that receives assistance from the emergency response towing vessel to submit a written report to the department as soon as practicable regarding the deployment of the emergency response system;</w:t>
      </w:r>
    </w:p>
    <w:p>
      <w:pPr>
        <w:spacing w:before="0" w:after="0" w:line="408" w:lineRule="exact"/>
        <w:ind w:left="0" w:right="0" w:firstLine="576"/>
        <w:jc w:val="left"/>
      </w:pPr>
      <w:r>
        <w:rPr/>
        <w:t xml:space="preserve">(g) Be designed with a goal of avoiding or minimizing the impacts of underwater noise from vessels in the Salish Sea, focusing vessel traffic into established shipping lanes, protecting and minimizing vessel traffic impacts to established fishing areas, and respecting and preserving the treaty-protected fishing rights of federally recognized Indian tribes in the Salish Sea;</w:t>
      </w:r>
    </w:p>
    <w:p>
      <w:pPr>
        <w:spacing w:before="0" w:after="0" w:line="408" w:lineRule="exact"/>
        <w:ind w:left="0" w:right="0" w:firstLine="576"/>
        <w:jc w:val="left"/>
      </w:pPr>
      <w:r>
        <w:rPr/>
        <w:t xml:space="preserve">(h) Be designed to maximize the incremental risk reduction offered by an emergency response system in light of the requirements established in or authorized by RCW 88.16.190;</w:t>
      </w:r>
    </w:p>
    <w:p>
      <w:pPr>
        <w:spacing w:before="0" w:after="0" w:line="408" w:lineRule="exact"/>
        <w:ind w:left="0" w:right="0" w:firstLine="576"/>
        <w:jc w:val="left"/>
      </w:pPr>
      <w:r>
        <w:rPr/>
        <w:t xml:space="preserve">(i) Consider whether the adoption of rules under this section would establish the perverse effects of either:</w:t>
      </w:r>
    </w:p>
    <w:p>
      <w:pPr>
        <w:spacing w:before="0" w:after="0" w:line="408" w:lineRule="exact"/>
        <w:ind w:left="0" w:right="0" w:firstLine="576"/>
        <w:jc w:val="left"/>
      </w:pPr>
      <w:r>
        <w:rPr/>
        <w:t xml:space="preserve">(i) Encouraging the development of or mitigating the impacts of oil infrastructure in British Columbia; or</w:t>
      </w:r>
    </w:p>
    <w:p>
      <w:pPr>
        <w:spacing w:before="0" w:after="0" w:line="408" w:lineRule="exact"/>
        <w:ind w:left="0" w:right="0" w:firstLine="576"/>
        <w:jc w:val="left"/>
      </w:pPr>
      <w:r>
        <w:rPr/>
        <w:t xml:space="preserve">(ii) Discouraging regulatory authorities in Canada from establishing tug escorts, emergency response systems, or similar maritime safety requirements for vessels operating in international boundary waters;</w:t>
      </w:r>
    </w:p>
    <w:p>
      <w:pPr>
        <w:spacing w:before="0" w:after="0" w:line="408" w:lineRule="exact"/>
        <w:ind w:left="0" w:right="0" w:firstLine="576"/>
        <w:jc w:val="left"/>
      </w:pPr>
      <w:r>
        <w:rPr/>
        <w:t xml:space="preserve">(j) Consider input received during the 2019 Salish Sea shared waters forum;</w:t>
      </w:r>
    </w:p>
    <w:p>
      <w:pPr>
        <w:spacing w:before="0" w:after="0" w:line="408" w:lineRule="exact"/>
        <w:ind w:left="0" w:right="0" w:firstLine="576"/>
        <w:jc w:val="left"/>
      </w:pPr>
      <w:r>
        <w:rPr/>
        <w:t xml:space="preserve">(k) Be carried out in consultation with the entities identified in section 3(6) of this act; and</w:t>
      </w:r>
    </w:p>
    <w:p>
      <w:pPr>
        <w:spacing w:before="0" w:after="0" w:line="408" w:lineRule="exact"/>
        <w:ind w:left="0" w:right="0" w:firstLine="576"/>
        <w:jc w:val="left"/>
      </w:pPr>
      <w:r>
        <w:rPr/>
        <w:t xml:space="preserve">(l) Rely, in part, upon analysis of the emergency response towing vessel using the model developed by the department under section 5 of this act.</w:t>
      </w:r>
    </w:p>
    <w:p>
      <w:pPr>
        <w:spacing w:before="0" w:after="0" w:line="408" w:lineRule="exact"/>
        <w:ind w:left="0" w:right="0" w:firstLine="576"/>
        <w:jc w:val="left"/>
      </w:pPr>
      <w:r>
        <w:rPr/>
        <w:t xml:space="preserve">(2) Rules adopted under this section must be periodically updated consistent with section 6 of this act.</w:t>
      </w:r>
    </w:p>
    <w:p>
      <w:pPr>
        <w:spacing w:before="0" w:after="0" w:line="408" w:lineRule="exact"/>
        <w:ind w:left="0" w:right="0" w:firstLine="576"/>
        <w:jc w:val="left"/>
      </w:pPr>
      <w:r>
        <w:rPr/>
        <w:t xml:space="preserve">(3) The department must prioritize Haro Strait and Boundary Pass as the initial focus of analysis conducted in support of rule-making processes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must develop and maintain a model to quantitatively assess current and potential future risks of oil spills from covered vessels in Washington waters, as it conducts ongoing oil spill risk assessments. The department must consult with the United States coast guard, tribes,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sections 3 and 4 of this act on vessel traffic patterns and oil spill risks in the Salish Sea. Factors considered must include modeling developed by the department under section 5 of this act and may include: (i) Vessel traffic data; (ii) vessel accident and incident data, such as incidents where tug escorts or an emergency response towing vessel acted to reduce spill risks; and (iii) consultation with the United States coast guard, federally recognized Indian tribes,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RCW 88.16.190 and section 3 of this act, or to the emergency response towing vessel requirements adopted under section 4 of this act.</w:t>
      </w:r>
    </w:p>
    <w:p>
      <w:pPr>
        <w:spacing w:before="0" w:after="0" w:line="408" w:lineRule="exact"/>
        <w:ind w:left="0" w:right="0" w:firstLine="576"/>
        <w:jc w:val="left"/>
      </w:pPr>
      <w:r>
        <w:rPr/>
        <w:t xml:space="preserve">(2) In the event that the department or board of pilotage commissioners determines that updates are merited to the rules, the department or board, as appropriate, must notify the appropriate standing committees of the house of representatives and the senate, and must thereafter adopt rules consistent with the requirements of RCW 88.16.190, section 3 of this act, including the consultation process outlined in section 3(6) of this act,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w:t>
      </w:r>
      <w:r>
        <w:t>((</w:t>
      </w:r>
      <w:r>
        <w:rPr>
          <w:strike/>
        </w:rPr>
        <w:t xml:space="preserve">means</w:t>
      </w:r>
      <w:r>
        <w:t>))</w:t>
      </w:r>
      <w:r>
        <w:rPr/>
        <w:t xml:space="preserve"> </w:t>
      </w:r>
      <w:r>
        <w:rPr>
          <w:u w:val="single"/>
        </w:rPr>
        <w:t xml:space="preserve">includes</w:t>
      </w:r>
      <w:r>
        <w:rPr/>
        <w:t xml:space="preserve">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w:t>
      </w:r>
      <w:r>
        <w:rPr>
          <w:u w:val="single"/>
        </w:rPr>
        <w:t xml:space="preserve">In advance of the 2019 meeting of the Salish Sea shared waters forum, the department must partner with the coast Salish gathering, which is the transboundary natural resource policy dialogue of elected officials representing federal, state, provincial, first nations, and tribal governments within the Salish Sea, to discuss the specifics of how the shared system described in subsection (3)(d) of this section could be funded. The 2019 meeting of the Salish Sea shared waters forum must include continued discussion of the specifics covered on this topic during the coast Salish gathering.</w:t>
      </w:r>
    </w:p>
    <w:p>
      <w:pPr>
        <w:spacing w:before="0" w:after="0" w:line="408" w:lineRule="exact"/>
        <w:ind w:left="0" w:right="0" w:firstLine="576"/>
        <w:jc w:val="left"/>
      </w:pPr>
      <w:r>
        <w:rPr>
          <w:u w:val="single"/>
        </w:rPr>
        <w:t xml:space="preserve">(6)</w:t>
      </w:r>
      <w:r>
        <w:rPr/>
        <w:t xml:space="preserve">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2cef60e5eb243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4bfee7fbe431f" /><Relationship Type="http://schemas.openxmlformats.org/officeDocument/2006/relationships/footer" Target="/word/footer1.xml" Id="R12cef60e5eb24332" /></Relationships>
</file>