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b0d32d3e144f1" /></Relationships>
</file>

<file path=word/document.xml><?xml version="1.0" encoding="utf-8"?>
<w:document xmlns:w="http://schemas.openxmlformats.org/wordprocessingml/2006/main">
  <w:body>
    <w:p>
      <w:r>
        <w:t>H-0776.3</w:t>
      </w:r>
    </w:p>
    <w:p>
      <w:pPr>
        <w:jc w:val="center"/>
      </w:pPr>
      <w:r>
        <w:t>_______________________________________________</w:t>
      </w:r>
    </w:p>
    <w:p/>
    <w:p>
      <w:pPr>
        <w:jc w:val="center"/>
      </w:pPr>
      <w:r>
        <w:rPr>
          <w:b/>
        </w:rPr>
        <w:t>HOUSE BILL 1607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Jinkins, Robinson, Macri, and Cody</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participants in the health care marketplace;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the intent of the legislature to ensure that competition beneficial to consumers in health care markets across Washington remains vigorous and robust. The legislature supports that intent through this act,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act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any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48.44.010.</w:t>
      </w:r>
    </w:p>
    <w:p>
      <w:pPr>
        <w:spacing w:before="0" w:after="0" w:line="408" w:lineRule="exact"/>
        <w:ind w:left="0" w:right="0" w:firstLine="576"/>
        <w:jc w:val="left"/>
      </w:pPr>
      <w:r>
        <w:rPr/>
        <w:t xml:space="preserve">(3) "Contracting affiliation" includes any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w:t>
      </w:r>
    </w:p>
    <w:p>
      <w:pPr>
        <w:spacing w:before="0" w:after="0" w:line="408" w:lineRule="exact"/>
        <w:ind w:left="0" w:right="0" w:firstLine="576"/>
        <w:jc w:val="left"/>
      </w:pPr>
      <w:r>
        <w:rPr/>
        <w:t xml:space="preserve">(4) "Health care services" includes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w:t>
      </w:r>
    </w:p>
    <w:p>
      <w:pPr>
        <w:spacing w:before="0" w:after="0" w:line="408" w:lineRule="exact"/>
        <w:ind w:left="0" w:right="0" w:firstLine="576"/>
        <w:jc w:val="left"/>
      </w:pPr>
      <w:r>
        <w:rPr/>
        <w:t xml:space="preserve">(5) "Health maintenance organization" means any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(6) "Hospital" means any entity that is:</w:t>
      </w:r>
    </w:p>
    <w:p>
      <w:pPr>
        <w:spacing w:before="0" w:after="0" w:line="408" w:lineRule="exact"/>
        <w:ind w:left="0" w:right="0" w:firstLine="576"/>
        <w:jc w:val="left"/>
      </w:pPr>
      <w:r>
        <w:rPr/>
        <w:t xml:space="preserve">(a) Defined as a hospital in RCW 70.41.020 and is required to obtain a license under RCW 70.41.090; or</w:t>
      </w:r>
    </w:p>
    <w:p>
      <w:pPr>
        <w:spacing w:before="0" w:after="0" w:line="408" w:lineRule="exact"/>
        <w:ind w:left="0" w:right="0" w:firstLine="576"/>
        <w:jc w:val="left"/>
      </w:pPr>
      <w:r>
        <w:rPr/>
        <w:t xml:space="preserve">(b) A psychiatric hospital required to obtain a license under chapter 71.12 RCW.</w:t>
      </w:r>
    </w:p>
    <w:p>
      <w:pPr>
        <w:spacing w:before="0" w:after="0" w:line="408" w:lineRule="exact"/>
        <w:ind w:left="0" w:right="0" w:firstLine="576"/>
        <w:jc w:val="left"/>
      </w:pPr>
      <w:r>
        <w:rPr/>
        <w:t xml:space="preserve">(7) "Hospital system" includes:</w:t>
      </w:r>
    </w:p>
    <w:p>
      <w:pPr>
        <w:spacing w:before="0" w:after="0" w:line="408" w:lineRule="exact"/>
        <w:ind w:left="0" w:right="0" w:firstLine="576"/>
        <w:jc w:val="left"/>
      </w:pPr>
      <w:r>
        <w:rPr/>
        <w:t xml:space="preserve">(a) A parent corporation of one or more hospitals and any entity affiliated with such parent corporation through ownership, governance, control, or membership; or</w:t>
      </w:r>
    </w:p>
    <w:p>
      <w:pPr>
        <w:spacing w:before="0" w:after="0" w:line="408" w:lineRule="exact"/>
        <w:ind w:left="0" w:right="0" w:firstLine="576"/>
        <w:jc w:val="left"/>
      </w:pPr>
      <w:r>
        <w:rPr/>
        <w:t xml:space="preserve">(b) A hospital and any entity affiliated with such hospital through ownership, governance, or membership.</w:t>
      </w:r>
    </w:p>
    <w:p>
      <w:pPr>
        <w:spacing w:before="0" w:after="0" w:line="408" w:lineRule="exact"/>
        <w:ind w:left="0" w:right="0" w:firstLine="576"/>
        <w:jc w:val="left"/>
      </w:pPr>
      <w:r>
        <w:rPr/>
        <w:t xml:space="preserve">(8) "Merger" includes a consolidation or integration of two or more organizations, including two or more organizations joining through a common parent organization or two or more organizations forming a new organization.</w:t>
      </w:r>
    </w:p>
    <w:p>
      <w:pPr>
        <w:spacing w:before="0" w:after="0" w:line="408" w:lineRule="exact"/>
        <w:ind w:left="0" w:right="0" w:firstLine="576"/>
        <w:jc w:val="left"/>
      </w:pPr>
      <w:r>
        <w:rPr/>
        <w:t xml:space="preserve">(9) "Patient service revenue" means the total revenue received for patient care in the previous twelve months.</w:t>
      </w:r>
    </w:p>
    <w:p>
      <w:pPr>
        <w:spacing w:before="0" w:after="0" w:line="408" w:lineRule="exact"/>
        <w:ind w:left="0" w:right="0" w:firstLine="576"/>
        <w:jc w:val="left"/>
      </w:pPr>
      <w:r>
        <w:rPr/>
        <w:t xml:space="preserve">(10) "Person" includes, where applicable, natural persons, corporations, trusts, unincorporated associations, and partnerships.</w:t>
      </w:r>
    </w:p>
    <w:p>
      <w:pPr>
        <w:spacing w:before="0" w:after="0" w:line="408" w:lineRule="exact"/>
        <w:ind w:left="0" w:right="0" w:firstLine="576"/>
        <w:jc w:val="left"/>
      </w:pPr>
      <w:r>
        <w:rPr/>
        <w:t xml:space="preserve">(11) "Provider" includes any natural person who practices a profession identified in RCW 18.130.040.</w:t>
      </w:r>
    </w:p>
    <w:p>
      <w:pPr>
        <w:spacing w:before="0" w:after="0" w:line="408" w:lineRule="exact"/>
        <w:ind w:left="0" w:right="0" w:firstLine="576"/>
        <w:jc w:val="left"/>
      </w:pPr>
      <w:r>
        <w:rPr/>
        <w:t xml:space="preserve">(12) "Provider organization" includes any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accountable care organizations, and any other organization that contracts with carriers or third-party administrators for payment for health care services.</w:t>
      </w:r>
    </w:p>
    <w:p>
      <w:pPr>
        <w:spacing w:before="0" w:after="0" w:line="408" w:lineRule="exact"/>
        <w:ind w:left="0" w:right="0" w:firstLine="576"/>
        <w:jc w:val="left"/>
      </w:pPr>
      <w:r>
        <w:rPr/>
        <w:t xml:space="preserve">(13)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thirty days prior to the effective date of any transaction that results in a material change, each party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includes proposed changes identified in subsection (2) of this section between a Washington entity and an out-of-state entity where the out-of-state entity generates ten million dollars or more in patient service revenue from patients residing in Washington state. Any party to a material change that is licensed or operating in Washington state shall submit a notice as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The written notice provided by each party, as required by section 3 of this act, must include:</w:t>
      </w:r>
    </w:p>
    <w:p>
      <w:pPr>
        <w:spacing w:before="0" w:after="0" w:line="408" w:lineRule="exact"/>
        <w:ind w:left="0" w:right="0" w:firstLine="576"/>
        <w:jc w:val="left"/>
      </w:pPr>
      <w:r>
        <w:rPr/>
        <w:t xml:space="preserve">(1) The names of the parties and their current business addresses;</w:t>
      </w:r>
    </w:p>
    <w:p>
      <w:pPr>
        <w:spacing w:before="0" w:after="0" w:line="408" w:lineRule="exact"/>
        <w:ind w:left="0" w:right="0" w:firstLine="576"/>
        <w:jc w:val="left"/>
      </w:pPr>
      <w:r>
        <w:rPr/>
        <w:t xml:space="preserve">(2) A copy of all current agreements governing and related to the proposed material change;</w:t>
      </w:r>
    </w:p>
    <w:p>
      <w:pPr>
        <w:spacing w:before="0" w:after="0" w:line="408" w:lineRule="exact"/>
        <w:ind w:left="0" w:right="0" w:firstLine="576"/>
        <w:jc w:val="left"/>
      </w:pPr>
      <w:r>
        <w:rPr/>
        <w:t xml:space="preserve">(3) A brief description of the nature and objectives of the proposed material change; and</w:t>
      </w:r>
    </w:p>
    <w:p>
      <w:pPr>
        <w:spacing w:before="0" w:after="0" w:line="408" w:lineRule="exact"/>
        <w:ind w:left="0" w:right="0" w:firstLine="576"/>
        <w:jc w:val="left"/>
      </w:pPr>
      <w:r>
        <w:rPr/>
        <w:t xml:space="preserve">(4) The anticipated effective date of the proposed material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FOR ADDITIONAL INFORMATION.</w:t>
      </w:r>
      <w:r>
        <w:t xml:space="preserve">  </w:t>
      </w:r>
      <w:r>
        <w:rPr/>
        <w:t xml:space="preserve">The attorney general shall make any requests for additional information from the parties under RCW 19.86.110 within thirty days of the date notice is received under sections 3 and 4 of this act. Nothing in this section precludes the attorney general from conducting an investigation or enforcing state or federal antitrust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Title 15 U.S.C. Sec. 18a, shall provide a copy of such filing to the attorney general. Providing a copy of the Hart-Scott-Rodino filing to the attorney general satisfies the notice requirement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as provided in RCW 19.86.110. Nothing in this chapter limits the attorney general's authority under RCW 19.86.110 or 19.86.115.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notice requirement in section 3 of this act applies to transactions with an anticipated effective date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7210bfa7892143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570866d354b9a" /><Relationship Type="http://schemas.openxmlformats.org/officeDocument/2006/relationships/footer" Target="/word/footer1.xml" Id="R7210bfa78921438d" /></Relationships>
</file>