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805092b9b49a9" /></Relationships>
</file>

<file path=word/document.xml><?xml version="1.0" encoding="utf-8"?>
<w:document xmlns:w="http://schemas.openxmlformats.org/wordprocessingml/2006/main">
  <w:body>
    <w:p>
      <w:r>
        <w:t>H-1112.1</w:t>
      </w:r>
    </w:p>
    <w:p>
      <w:pPr>
        <w:jc w:val="center"/>
      </w:pPr>
      <w:r>
        <w:t>_______________________________________________</w:t>
      </w:r>
    </w:p>
    <w:p/>
    <w:p>
      <w:pPr>
        <w:jc w:val="center"/>
      </w:pPr>
      <w:r>
        <w:rPr>
          <w:b/>
        </w:rPr>
        <w:t>HOUSE BILL 1721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Goodman, Peterson, Dolan, Valdez, Tarleton, Slatter, and Pollet</w:t>
      </w:r>
    </w:p>
    <w:p/>
    <w:p>
      <w:r>
        <w:rPr>
          <w:t xml:space="preserve">Read first time 01/29/19.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treatment for individuals at risk of suicide by promoting training in evidence-based practices; amending RCW 28B.115.050, 28B.115.070, 28B.115.080, and 28B.115.120; and adding a new section to chapter 28B.20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University of Washington shall establish certificate programs to educate behavioral health care professionals in evidence-based practices. The certificate programs must be established as follows:</w:t>
      </w:r>
    </w:p>
    <w:p>
      <w:pPr>
        <w:spacing w:before="0" w:after="0" w:line="408" w:lineRule="exact"/>
        <w:ind w:left="0" w:right="0" w:firstLine="576"/>
        <w:jc w:val="left"/>
      </w:pPr>
      <w:r>
        <w:rPr/>
        <w:t xml:space="preserve">(1)(a) The University of Washington school of social work, in collaboration with the University of Washington department of psychology, shall establish a certificate program in evidence-based dialectical behavior therapy practices that have been shown to be effective in treating patients with mental health disorders and those who are at risk of suicide.</w:t>
      </w:r>
    </w:p>
    <w:p>
      <w:pPr>
        <w:spacing w:before="0" w:after="0" w:line="408" w:lineRule="exact"/>
        <w:ind w:left="0" w:right="0" w:firstLine="576"/>
        <w:jc w:val="left"/>
      </w:pPr>
      <w:r>
        <w:rPr/>
        <w:t xml:space="preserve">(b) The certificate program must be designed for graduate students pursuing a master's of social work.</w:t>
      </w:r>
    </w:p>
    <w:p>
      <w:pPr>
        <w:spacing w:before="0" w:after="0" w:line="408" w:lineRule="exact"/>
        <w:ind w:left="0" w:right="0" w:firstLine="576"/>
        <w:jc w:val="left"/>
      </w:pPr>
      <w:r>
        <w:rPr/>
        <w:t xml:space="preserve">(2)(a) The University of Washington department of psychiatry and behavioral sciences division of public behavioral health and justice policy shall establish a certificate program in evidence-based dialectical behavior therapy practices that have been shown to be effective in treating patients with mental health disorders and those who are at risk of suicide.</w:t>
      </w:r>
    </w:p>
    <w:p>
      <w:pPr>
        <w:spacing w:before="0" w:after="0" w:line="408" w:lineRule="exact"/>
        <w:ind w:left="0" w:right="0" w:firstLine="576"/>
        <w:jc w:val="left"/>
      </w:pPr>
      <w:r>
        <w:rPr/>
        <w:t xml:space="preserve">(b) The certificate program must be designed for licensed behavioral health care professionals who wish to receive additional education in evidence-based dialectical behavior therapy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and other appropriate public and private agencies and organizations. The criteria may require that some of the participants meet the definition of "needy student" under RCW 28B.92.030. </w:t>
      </w:r>
      <w:r>
        <w:rPr>
          <w:u w:val="single"/>
        </w:rPr>
        <w:t xml:space="preserve">The criteria must also include whether a credentialed health care professional has a certificate in dialectical behavior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r>
        <w:rPr/>
        <w:t xml:space="preserve"> </w:t>
      </w:r>
      <w:r>
        <w:rPr>
          <w:u w:val="single"/>
        </w:rPr>
        <w:t xml:space="preserve">(3) Beginning with the 2020 award cycle, the planning committee established under RCW 28B.115.050 shall devote fifty percent of the loan repayment awards to credentialed health care professionals who are employed in a designated health professional shortage area and are providing behavioral health services. The planning committee may devote less than fifty percent of the loan repayment awards if there are not enough qualified applicants providing behavioral health services in any given award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u w:val="single"/>
        </w:rPr>
        <w:t xml:space="preserve">(1)</w:t>
      </w:r>
      <w:r>
        <w:rPr/>
        <w:t xml:space="preserve"> After June 1, 1992, the office, in consultation with the department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annual award amount for each credentialed health care profession which shall be based upon an assessment of reasonable annual eligible expenses involved in training and education for each credentialed health care profession.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 the required service obligation for each credentialed health care profession, which shall be no less than three years or no more than five years.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Determine eligible education and training programs for purposes of the scholarship portion of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Honor loan repayment and scholarship contract terms negotiated between the office and participants prior to May 21, 1991, concerning loan repayment and scholarship award amounts and service obligations authorized under </w:t>
      </w:r>
      <w:r>
        <w:rPr>
          <w:u w:val="single"/>
        </w:rPr>
        <w:t xml:space="preserve">this chapter or</w:t>
      </w:r>
      <w:r>
        <w:rPr/>
        <w:t xml:space="preserve"> chapter </w:t>
      </w:r>
      <w:r>
        <w:t>((</w:t>
      </w:r>
      <w:r>
        <w:rPr>
          <w:strike/>
        </w:rPr>
        <w:t xml:space="preserve">28B.115, 28B.104, or</w:t>
      </w:r>
      <w:r>
        <w:t>))</w:t>
      </w:r>
      <w:r>
        <w:rPr/>
        <w:t xml:space="preserve"> 70.180 RCW.</w:t>
      </w:r>
    </w:p>
    <w:p>
      <w:pPr>
        <w:spacing w:before="0" w:after="0" w:line="408" w:lineRule="exact"/>
        <w:ind w:left="0" w:right="0" w:firstLine="576"/>
        <w:jc w:val="left"/>
      </w:pPr>
      <w:r>
        <w:rPr>
          <w:u w:val="single"/>
        </w:rPr>
        <w:t xml:space="preserve">(2) Subject to the availability of amounts appropriated for this specific purpose and beginning with the 2020-21 academic year, the office, in consultation with an organization that certifies health care professionals in dialectical behavior therapy, shall award conditional scholarships to graduate students and credentialed health care professionals enrolled in evidence-based dialectical behavior therapy certificate programs established under section 1 of this act. The office shall determine the amount of the conditional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w:t>
      </w:r>
      <w:r>
        <w:rPr>
          <w:u w:val="single"/>
        </w:rPr>
        <w:t xml:space="preserve">(a)</w:t>
      </w:r>
      <w:r>
        <w:rPr/>
        <w:t xml:space="preserve"> Participants in the health professional loan repayment and scholarship program who are awarded scholarships </w:t>
      </w:r>
      <w:r>
        <w:rPr>
          <w:u w:val="single"/>
        </w:rPr>
        <w:t xml:space="preserve">under RCW 28B.115.080(1)</w:t>
      </w:r>
      <w:r>
        <w:rPr/>
        <w:t xml:space="preserve">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u w:val="single"/>
        </w:rPr>
        <w:t xml:space="preserve">(b) Participants who receive a conditional scholarship under RCW 28B.115.080(2) incur an obligation to repay the scholarship, with penalty and interest, unless they serve for three years at a public behavioral health site, to be determined by the office in consultation with the department.</w:t>
      </w:r>
    </w:p>
    <w:p>
      <w:pPr>
        <w:spacing w:before="0" w:after="0" w:line="408" w:lineRule="exact"/>
        <w:ind w:left="0" w:right="0" w:firstLine="576"/>
        <w:jc w:val="left"/>
      </w:pPr>
      <w:r>
        <w:rPr/>
        <w:t xml:space="preserve">(2) The interest rate shall be determined by the office and established by rule.</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w:t>
      </w:r>
      <w:r>
        <w:rPr>
          <w:u w:val="single"/>
        </w:rPr>
        <w:t xml:space="preserve">or a public behavioral health site</w:t>
      </w:r>
      <w:r>
        <w:rPr/>
        <w:t xml:space="preserve">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w:t>
      </w:r>
      <w:r>
        <w:rPr>
          <w:u w:val="single"/>
        </w:rPr>
        <w:t xml:space="preserve">(a)</w:t>
      </w:r>
      <w:r>
        <w:rPr/>
        <w:t xml:space="preserve"> In addition to the amount determined in subsection (4) of this section, except for circumstances beyond their control, participants who </w:t>
      </w:r>
      <w:r>
        <w:rPr>
          <w:u w:val="single"/>
        </w:rPr>
        <w:t xml:space="preserve">received a scholarship under RCW 28B.115.080(1) and who</w:t>
      </w:r>
      <w:r>
        <w:rPr/>
        <w:t xml:space="preserve"> serve less than the required service obligation shall be obliged to pay a penalty of an amount equal to twice the unsatisfied portion of the principal.</w:t>
      </w:r>
    </w:p>
    <w:p>
      <w:pPr>
        <w:spacing w:before="0" w:after="0" w:line="408" w:lineRule="exact"/>
        <w:ind w:left="0" w:right="0" w:firstLine="576"/>
        <w:jc w:val="left"/>
      </w:pPr>
      <w:r>
        <w:rPr>
          <w:u w:val="single"/>
        </w:rPr>
        <w:t xml:space="preserve">(b) In addition to the amount determined under subsection (4) of this section, except for circumstances beyond their control, participants who received a conditional scholarship under RCW 28B.115.080(2) and who serve less than the required service obligation shall be obligated to pay a penalty of an amount equal to the unsatisfied portion of the principal.</w:t>
      </w:r>
    </w:p>
    <w:p>
      <w:pPr>
        <w:spacing w:before="0" w:after="0" w:line="408" w:lineRule="exact"/>
        <w:ind w:left="0" w:right="0" w:firstLine="576"/>
        <w:jc w:val="left"/>
      </w:pPr>
      <w:r>
        <w:rPr/>
        <w:t xml:space="preserve">(6) Participants who are unable to pay the full amount due shall enter into a payment arrangement with the office for repayment including interest. The maximum period for repayment is ten years.</w:t>
      </w:r>
    </w:p>
    <w:p>
      <w:pPr>
        <w:spacing w:before="0" w:after="0" w:line="408" w:lineRule="exact"/>
        <w:ind w:left="0" w:right="0" w:firstLine="576"/>
        <w:jc w:val="left"/>
      </w:pPr>
      <w:r>
        <w:rPr/>
        <w:t xml:space="preserve">(7)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(8)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(7)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rPr/>
        <w:t xml:space="preserve">(9)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rPr/>
        <w:t xml:space="preserve">(10) The office may make exceptions to the conditions for participation and repayment obligations should circumstances beyond the control of individual participants warrant such exceptions. The office shall establish an appeal process by rule.</w:t>
      </w:r>
    </w:p>
    <w:p/>
    <w:p>
      <w:pPr>
        <w:jc w:val="center"/>
      </w:pPr>
      <w:r>
        <w:rPr>
          <w:b/>
        </w:rPr>
        <w:t>--- END ---</w:t>
      </w:r>
    </w:p>
    <w:sectPr>
      <w:pgNumType w:start="1"/>
      <w:footerReference xmlns:r="http://schemas.openxmlformats.org/officeDocument/2006/relationships" r:id="Rf4745a0bd2c64b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7fb059a8d4657" /><Relationship Type="http://schemas.openxmlformats.org/officeDocument/2006/relationships/footer" Target="/word/footer1.xml" Id="Rf4745a0bd2c64b2b" /></Relationships>
</file>