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6fa0171b24a68" /></Relationships>
</file>

<file path=word/document.xml><?xml version="1.0" encoding="utf-8"?>
<w:document xmlns:w="http://schemas.openxmlformats.org/wordprocessingml/2006/main">
  <w:body>
    <w:p>
      <w:r>
        <w:t>H-0930.1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Orcutt</w:t>
      </w:r>
    </w:p>
    <w:p/>
    <w:p>
      <w:r>
        <w:rPr>
          <w:t xml:space="preserve">Read first time 01/31/19.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the nonprofit and library fund-raising exemption permanent; amending RCW 82.12.225;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225</w:t>
      </w:r>
      <w:r>
        <w:rPr/>
        <w:t xml:space="preserve"> and 2015 3rd sp.s. c 32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in respect to the use of any article of personal property, valued at less than twelve thousand dollars, purchased or received as a prize in a contest of chance, as defined in RCW 82.04.285, from a nonprofit organization or a library, if the gross income the nonprofit organization or library receives from the sale is exempt under RCW 82.04.3651.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This section expires July 1, 2020.</w:t>
      </w:r>
      <w:r>
        <w:t>))</w:t>
      </w:r>
      <w:r>
        <w:rPr/>
        <w:t xml:space="preserve"> </w:t>
      </w:r>
      <w:r>
        <w:rPr>
          <w:u w:val="single"/>
        </w:rPr>
        <w:t xml:space="preserve">By rule of the department, the amount of value exempt under subsection (1) of this section must be annually adjusted for inflation.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706b99f8ff843d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42a5f8bf04631" /><Relationship Type="http://schemas.openxmlformats.org/officeDocument/2006/relationships/footer" Target="/word/footer1.xml" Id="R0706b99f8ff843dc" /></Relationships>
</file>