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84f5d2f8584069" /></Relationships>
</file>

<file path=word/document.xml><?xml version="1.0" encoding="utf-8"?>
<w:document xmlns:w="http://schemas.openxmlformats.org/wordprocessingml/2006/main">
  <w:body>
    <w:p>
      <w:r>
        <w:t>Z-0499.1</w:t>
      </w:r>
    </w:p>
    <w:p>
      <w:pPr>
        <w:jc w:val="center"/>
      </w:pPr>
      <w:r>
        <w:t>_______________________________________________</w:t>
      </w:r>
    </w:p>
    <w:p/>
    <w:p>
      <w:pPr>
        <w:jc w:val="center"/>
      </w:pPr>
      <w:r>
        <w:rPr>
          <w:b/>
        </w:rPr>
        <w:t>HOUSE BILL 1880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Harris, Davis, Ryu, and Stanford</w:t>
      </w:r>
    </w:p>
    <w:p/>
    <w:p>
      <w:r>
        <w:rPr>
          <w:t xml:space="preserve">Read first time 02/04/19.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joint legislative task force on problem gambling; adding a new section to chapter 9.46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continues to have a responsibility to provide resources related to prevention, treatment, and recovery for persons suffering with a gambling problem or gambling disorder. The state last reviewed problem gambling policies in 2005 and the gambling industry has nearly doubled to more than a three billion dollar industry since this last review. The legislature directed the gambling commission to contract for a preliminary problem gambling study in 2018. The study surveyed and reviewed current problem gambling programs and services and responsible gaming practices in the state and provided a report and recommendation to the legislature based on the findings in the report.</w:t>
      </w:r>
    </w:p>
    <w:p>
      <w:pPr>
        <w:spacing w:before="0" w:after="0" w:line="408" w:lineRule="exact"/>
        <w:ind w:left="0" w:right="0" w:firstLine="576"/>
        <w:jc w:val="left"/>
      </w:pPr>
      <w:r>
        <w:rPr/>
        <w:t xml:space="preserve">Therefore, the legislature finds that a joint legislative task force is necessary in order for there to be a comprehensive review of current problem gambling funding, services, programs, and policies, including review of the gambling commission's problem gambling study, report, and recommendations. The task force will be responsible for providing recommendations to the legislature on how the state should continue to meet its responsibility to assist those who suffer from a gambling problem or disorder.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one from a federally recognized Indian tribe, with experience in problem gambling treatment and recovery services;</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licensed gambling business or organization;</w:t>
      </w:r>
    </w:p>
    <w:p>
      <w:pPr>
        <w:spacing w:before="0" w:after="0" w:line="408" w:lineRule="exact"/>
        <w:ind w:left="0" w:right="0" w:firstLine="576"/>
        <w:jc w:val="left"/>
      </w:pPr>
      <w:r>
        <w:rPr/>
        <w:t xml:space="preserve">(l) A representative from a federally recognized tribal gaming operation, group, or organization; and</w:t>
      </w:r>
    </w:p>
    <w:p>
      <w:pPr>
        <w:spacing w:before="0" w:after="0" w:line="408" w:lineRule="exact"/>
        <w:ind w:left="0" w:right="0" w:firstLine="576"/>
        <w:jc w:val="left"/>
      </w:pPr>
      <w:r>
        <w:rPr/>
        <w:t xml:space="preserve">(m) Other tribal representatives,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(2) The task force shall engage in the following activities:</w:t>
      </w:r>
    </w:p>
    <w:p>
      <w:pPr>
        <w:spacing w:before="0" w:after="0" w:line="408" w:lineRule="exact"/>
        <w:ind w:left="0" w:right="0" w:firstLine="576"/>
        <w:jc w:val="left"/>
      </w:pPr>
      <w:r>
        <w:rPr/>
        <w:t xml:space="preserve">(a) Review findings of the problem gambling study completed in 2018-19;</w:t>
      </w:r>
    </w:p>
    <w:p>
      <w:pPr>
        <w:spacing w:before="0" w:after="0" w:line="408" w:lineRule="exact"/>
        <w:ind w:left="0" w:right="0" w:firstLine="576"/>
        <w:jc w:val="left"/>
      </w:pPr>
      <w:r>
        <w:rPr/>
        <w:t xml:space="preserve">(b) Review existing programs, services, and treatment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Whether additional research and study is needed on prevalence of problem gambling and gambling disorder in the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w:t>
      </w:r>
    </w:p>
    <w:p>
      <w:pPr>
        <w:spacing w:before="0" w:after="0" w:line="408" w:lineRule="exact"/>
        <w:ind w:left="0" w:right="0" w:firstLine="576"/>
        <w:jc w:val="left"/>
      </w:pPr>
      <w:r>
        <w:rPr/>
        <w:t xml:space="preserve">(iii) Whether the current delivery of state licensing and certification of problem gambling providers meets the current and projected future demand for services;</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(3) Staff support for the task force must be provided by the senate committee services and the office of program research.</w:t>
      </w:r>
    </w:p>
    <w:p>
      <w:pPr>
        <w:spacing w:before="0" w:after="0" w:line="408" w:lineRule="exact"/>
        <w:ind w:left="0" w:right="0" w:firstLine="576"/>
        <w:jc w:val="left"/>
      </w:pPr>
      <w:r>
        <w:rPr/>
        <w:t xml:space="preserve">(4) The task force shall submit a preliminary report of recommendations to the appropriate committees of the legislature by November 1, 2020, and a final report by November 30, 2021.</w:t>
      </w:r>
    </w:p>
    <w:p>
      <w:pPr>
        <w:spacing w:before="0" w:after="0" w:line="408" w:lineRule="exact"/>
        <w:ind w:left="0" w:right="0" w:firstLine="576"/>
        <w:jc w:val="left"/>
      </w:pPr>
      <w:r>
        <w:rPr/>
        <w:t xml:space="preserve">(5) This section expires November 30, 2022.</w:t>
      </w:r>
    </w:p>
    <w:p/>
    <w:p>
      <w:pPr>
        <w:jc w:val="center"/>
      </w:pPr>
      <w:r>
        <w:rPr>
          <w:b/>
        </w:rPr>
        <w:t>--- END ---</w:t>
      </w:r>
    </w:p>
    <w:sectPr>
      <w:pgNumType w:start="1"/>
      <w:footerReference xmlns:r="http://schemas.openxmlformats.org/officeDocument/2006/relationships" r:id="R5d983258d26f4d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e2235eb01451f" /><Relationship Type="http://schemas.openxmlformats.org/officeDocument/2006/relationships/footer" Target="/word/footer1.xml" Id="R5d983258d26f4d53" /></Relationships>
</file>