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49698c2c54919" /></Relationships>
</file>

<file path=word/document.xml><?xml version="1.0" encoding="utf-8"?>
<w:document xmlns:w="http://schemas.openxmlformats.org/wordprocessingml/2006/main">
  <w:body>
    <w:p>
      <w:r>
        <w:t>H-1288.1</w:t>
      </w:r>
    </w:p>
    <w:p>
      <w:pPr>
        <w:jc w:val="center"/>
      </w:pPr>
      <w:r>
        <w:t>_______________________________________________</w:t>
      </w:r>
    </w:p>
    <w:p/>
    <w:p>
      <w:pPr>
        <w:jc w:val="center"/>
      </w:pPr>
      <w:r>
        <w:rPr>
          <w:b/>
        </w:rPr>
        <w:t>HOUSE BILL 1907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Appleton, Doglio, Ryu, Goodman, and Jinkins</w:t>
      </w:r>
    </w:p>
    <w:p/>
    <w:p>
      <w:r>
        <w:rPr>
          <w:t xml:space="preserve">Read first time 02/05/19.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substance use disorder treatment system; amending RCW 71.05.050, 71.05.150, 71.05.150, 71.05.153, 71.05.153, 71.05.210, 71.05.210, 71.05.220, 71.05.360, 71.05.760, 71.05.190, 71.05.180, 71.05.160, 71.05.157, 71.05.148, 71.24.037, 71.34.020, 71.34.375, 71.05.435, 71.34.410, 71.34.600, 71.34.660, 71.34.700, 71.34.700, 71.34.710, 71.34.710, 71.34.720, 71.34.720, 71.34.740, 71.34.740, 71.34.750, 71.34.780, and 71.34.780; reenacting and amending RCW 71.05.020, 71.05.240, 71.05.240, 71.05.590, 71.05.590, 71.05.120, 71.34.730, and 71.34.750; adding a new section to chapter 71.05 RCW; adding new sections to chapter 71.24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may provide technical assistance to staff at secure withdrawal management and stabilization facilities and approved substance use disorder treatment programs to improve suicide assessment, treatment, and management in the treatment milieu.</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w:t>
      </w:r>
      <w:r>
        <w:t>((</w:t>
      </w:r>
      <w:r>
        <w:rPr>
          <w:strike/>
        </w:rPr>
        <w:t xml:space="preserve">or</w:t>
      </w:r>
      <w:r>
        <w:t>))</w:t>
      </w:r>
    </w:p>
    <w:p>
      <w:pPr>
        <w:spacing w:before="0" w:after="0" w:line="408" w:lineRule="exact"/>
        <w:ind w:left="0" w:right="0" w:firstLine="576"/>
        <w:jc w:val="left"/>
      </w:pPr>
      <w:r>
        <w:rPr/>
        <w:t xml:space="preserve">(b) The person has threatened the physical safety of another and has a history of one or more violent acts; </w:t>
      </w:r>
      <w:r>
        <w:rPr>
          <w:u w:val="single"/>
        </w:rPr>
        <w:t xml:space="preserve">or</w:t>
      </w:r>
    </w:p>
    <w:p>
      <w:pPr>
        <w:spacing w:before="0" w:after="0" w:line="408" w:lineRule="exact"/>
        <w:ind w:left="0" w:right="0" w:firstLine="576"/>
        <w:jc w:val="left"/>
      </w:pPr>
      <w:r>
        <w:rPr>
          <w:u w:val="single"/>
        </w:rPr>
        <w:t xml:space="preserve">(c) A reasonable certainty that the person will suffer severe physical or mental harm as manifested by recent behavior demonstrating an inability to avoid risk or to protect the person adequately from impairment or injury;</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director shall require that medicaid payment for health care services furnished by an approved substance use disorder treatment program for services delivered through either a provider contract with the behavioral health organization on a fee-for-service basis, or under a contract with a medicaid managed health care organization, be at a rate not less than one hundred percent of the payment rate that applies to services furnished by a licensed evaluation and treatment facility in the same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director shall require that medicaid payment for health care services furnished by a community hospital providing substance use disorder treatment services delivered through either a provider contract with a behavioral health organization on a fee-for-service basis, or under a contract with a medicaid managed health care organization, be at a rate not less than one hundred percent of the payment rate that applies to services furnished by a licensed free-standing approved substance use disorder treatment program in the same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develop a reimbursement methodology for ambulance services when transporting a person to an approved substance use disorder treatment program. Subject to the availability of amounts appropriated for this specific purpose, medicaid payment for services furnished by a licensed ambulance service provider with either a provider contract with a behavioral health organization on a fee-for-service basis, or under a contract with a medicaid managed health care organization, must be at a rate not less than one hundred percent of the medicaid payment rate that applies to those services and providers in the same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33, 35, 37, 40, 42, and 44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34, 36, 38, 41, 43, and 45 of this act take effect July 1, 2026.</w:t>
      </w:r>
    </w:p>
    <w:p/>
    <w:p>
      <w:pPr>
        <w:jc w:val="center"/>
      </w:pPr>
      <w:r>
        <w:rPr>
          <w:b/>
        </w:rPr>
        <w:t>--- END ---</w:t>
      </w:r>
    </w:p>
    <w:sectPr>
      <w:pgNumType w:start="1"/>
      <w:footerReference xmlns:r="http://schemas.openxmlformats.org/officeDocument/2006/relationships" r:id="Rc11d2ea1a6134e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a6318fe3f4e37" /><Relationship Type="http://schemas.openxmlformats.org/officeDocument/2006/relationships/footer" Target="/word/footer1.xml" Id="Rc11d2ea1a6134ee5" /></Relationships>
</file>