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e25db082a4b9a" /></Relationships>
</file>

<file path=word/document.xml><?xml version="1.0" encoding="utf-8"?>
<w:document xmlns:w="http://schemas.openxmlformats.org/wordprocessingml/2006/main">
  <w:body>
    <w:p>
      <w:r>
        <w:t>H-1518.1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Vick</w:t>
      </w:r>
    </w:p>
    <w:p/>
    <w:p>
      <w:r>
        <w:rPr>
          <w:t xml:space="preserve">Read first time 02/11/19.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preferential pricing for spirits and wine sold to on-premises licensees; and amending RCW 66.28.170.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170</w:t>
      </w:r>
      <w:r>
        <w:rPr/>
        <w:t xml:space="preserve"> and 2012 c 2 s 119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It is unlawful for a manufacturer of spirits, wine, or malt beverages holding a certificate of approval or the manufacturer's authorized representative, a distillery, brewery, or a domestic winery to discriminate in price in selling to any purchaser for resale in the state of Washington. </w:t>
      </w:r>
      <w:r>
        <w:rPr>
          <w:u w:val="single"/>
        </w:rPr>
        <w:t xml:space="preserve">Offering on-premises retailers different prices or a different pricing structure for wine or spirits than offered to off-premises retailers does not discriminate in price and is lawful, so long as a particular price or pricing structure for wine or spirits offered to one on-premises retailer is made reasonably available to all on-premises retailers and a particular price or pricing structure for wine or spirits offered to one off-premises retailer is made reasonably available to all off-premises retailers. Subject to and in accordance with the foregoing, p</w:t>
      </w:r>
      <w:r>
        <w:rPr/>
        <w:t xml:space="preserve">rice differentials for sales of spirits or wine based upon competitive conditions, costs of servicing a purchaser's account, efficiencies in handling goods, or other </w:t>
      </w:r>
      <w:r>
        <w:rPr>
          <w:u w:val="single"/>
        </w:rPr>
        <w:t xml:space="preserve">such</w:t>
      </w:r>
      <w:r>
        <w:rPr/>
        <w:t xml:space="preserve"> bona fide business factors, to the extent the differentials are not unlawful under trade regulation laws applicable to goods of all kinds, do not violate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5731b5d9f7411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7e12bc75e40c0" /><Relationship Type="http://schemas.openxmlformats.org/officeDocument/2006/relationships/footer" Target="/word/footer1.xml" Id="R225731b5d9f74119" /></Relationships>
</file>