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f5b478d084547" /></Relationships>
</file>

<file path=word/document.xml><?xml version="1.0" encoding="utf-8"?>
<w:document xmlns:w="http://schemas.openxmlformats.org/wordprocessingml/2006/main">
  <w:body>
    <w:p>
      <w:r>
        <w:t>H-1573.1</w:t>
      </w:r>
    </w:p>
    <w:p>
      <w:pPr>
        <w:jc w:val="center"/>
      </w:pPr>
      <w:r>
        <w:t>_______________________________________________</w:t>
      </w:r>
    </w:p>
    <w:p/>
    <w:p>
      <w:pPr>
        <w:jc w:val="center"/>
      </w:pPr>
      <w:r>
        <w:rPr>
          <w:b/>
        </w:rPr>
        <w:t>HOUSE BILL 2040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and accountability for nonhigh school districts; amending RCW 28A.545.030; and adding a new section to chapter 28A.545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2017 3rd sp.s. c 13 s 1001 are each amended to read as follows:</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w:t>
      </w:r>
      <w:r>
        <w:t>((</w:t>
      </w:r>
      <w:r>
        <w:rPr>
          <w:strike/>
        </w:rPr>
        <w:t xml:space="preserve">and</w:t>
      </w:r>
      <w:r>
        <w:t>))</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w:t>
      </w:r>
      <w:r>
        <w:t>((</w:t>
      </w:r>
      <w:r>
        <w:rPr>
          <w:strike/>
        </w:rPr>
        <w:t xml:space="preserve">no greater than</w:t>
      </w:r>
      <w:r>
        <w:t>))</w:t>
      </w:r>
      <w:r>
        <w:rPr/>
        <w:t xml:space="preserve"> </w:t>
      </w:r>
      <w:r>
        <w:rPr>
          <w:u w:val="single"/>
        </w:rPr>
        <w:t xml:space="preserve">the lesser of:</w:t>
      </w:r>
    </w:p>
    <w:p>
      <w:pPr>
        <w:spacing w:before="0" w:after="0" w:line="408" w:lineRule="exact"/>
        <w:ind w:left="0" w:right="0" w:firstLine="576"/>
        <w:jc w:val="left"/>
      </w:pPr>
      <w:r>
        <w:rPr>
          <w:u w:val="single"/>
        </w:rPr>
        <w:t xml:space="preserve">(a) T</w:t>
      </w:r>
      <w:r>
        <w:rPr/>
        <w:t xml:space="preserve">he enrichment levy rate per annual average full-time equivalent student levied upon the taxpayers of the high school district</w:t>
      </w:r>
      <w:r>
        <w:rPr>
          <w:u w:val="single"/>
        </w:rPr>
        <w:t xml:space="preserve">; or</w:t>
      </w:r>
    </w:p>
    <w:p>
      <w:pPr>
        <w:spacing w:before="0" w:after="0" w:line="408" w:lineRule="exact"/>
        <w:ind w:left="0" w:right="0" w:firstLine="576"/>
        <w:jc w:val="left"/>
      </w:pPr>
      <w:r>
        <w:rPr>
          <w:u w:val="single"/>
        </w:rPr>
        <w:t xml:space="preserve">(b) The enrichment levy rate per annual average full-time equivalent student levied upon the taxpayers of the nonhigh school district; and</w:t>
      </w:r>
    </w:p>
    <w:p>
      <w:pPr>
        <w:spacing w:before="0" w:after="0" w:line="408" w:lineRule="exact"/>
        <w:ind w:left="0" w:right="0" w:firstLine="576"/>
        <w:jc w:val="left"/>
      </w:pPr>
      <w:r>
        <w:rPr>
          <w:u w:val="single"/>
        </w:rPr>
        <w:t xml:space="preserve">(4) Designate the revenue provided to secondary school buildings to ensure dollars are being spent to support secondary school students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Upon a nonhigh school district's request, a host high school district shall provide an annual data report to the nonhigh school district within sixty days of the request. The report must include attendance, grades, discipline, and state assessment data for all nonhigh secondary students sent to the high school district.</w:t>
      </w:r>
    </w:p>
    <w:p/>
    <w:p>
      <w:pPr>
        <w:jc w:val="center"/>
      </w:pPr>
      <w:r>
        <w:rPr>
          <w:b/>
        </w:rPr>
        <w:t>--- END ---</w:t>
      </w:r>
    </w:p>
    <w:sectPr>
      <w:pgNumType w:start="1"/>
      <w:footerReference xmlns:r="http://schemas.openxmlformats.org/officeDocument/2006/relationships" r:id="R68afde2da0ca49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1953981d44cf3" /><Relationship Type="http://schemas.openxmlformats.org/officeDocument/2006/relationships/footer" Target="/word/footer1.xml" Id="R68afde2da0ca4982" /></Relationships>
</file>