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49c199ce574b7a" /></Relationships>
</file>

<file path=word/document.xml><?xml version="1.0" encoding="utf-8"?>
<w:document xmlns:w="http://schemas.openxmlformats.org/wordprocessingml/2006/main">
  <w:body>
    <w:p>
      <w:r>
        <w:t>H-2014.1</w:t>
      </w:r>
    </w:p>
    <w:p>
      <w:pPr>
        <w:jc w:val="center"/>
      </w:pPr>
      <w:r>
        <w:t>_______________________________________________</w:t>
      </w:r>
    </w:p>
    <w:p/>
    <w:p>
      <w:pPr>
        <w:jc w:val="center"/>
      </w:pPr>
      <w:r>
        <w:rPr>
          <w:b/>
        </w:rPr>
        <w:t>SUBSTITUTE HOUSE BILL 2064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Frame, Ortiz-Self, Goodman, Callan, Senn, Thai, and Davis)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justice; amending RCW 13.40.020, 13.04.030, 13.40.0357, 13.40.110, and 13.40.300; adding new sections to chapter 72.05 RCW; adding new sections to chapter 13.40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expand the programming available to individuals serving a term of confinement in juvenile rehabilitation to improve rehabilitation and public safety outcomes. The legislature also intends to correct sentencing and jurisdictional requirements related to chapter 162, Laws of 2018 (Engrossed Second Substitute Senate Bill No. 6160).</w:t>
      </w:r>
    </w:p>
    <w:p>
      <w:pPr>
        <w:spacing w:before="0" w:after="0" w:line="408" w:lineRule="exact"/>
        <w:ind w:left="0" w:right="0" w:firstLine="576"/>
        <w:jc w:val="left"/>
      </w:pPr>
      <w:r>
        <w:rPr/>
        <w:t xml:space="preserve">The legislature intends to include rehabilitation services specially designed for individuals ages eighteen through twenty-five with criminal justice experience in the inventory of evidence-based, research-based, and promising practices produced by the Washington state institute for public policy and the evidence-based practice institute at the University of Washington.</w:t>
      </w:r>
    </w:p>
    <w:p>
      <w:pPr>
        <w:spacing w:before="0" w:after="0" w:line="408" w:lineRule="exact"/>
        <w:ind w:left="0" w:right="0" w:firstLine="576"/>
        <w:jc w:val="left"/>
      </w:pPr>
      <w:r>
        <w:rPr/>
        <w:t xml:space="preserve">To further improve outcomes for individuals served by the juvenile justice system and those providing those services, the legislature encourages the department of children, youth, and families to implement trauma informed practices in the training and responses provided to employees working in juvenile rehabilitation. The legislature further encourages the department of children, youth, and families to expand access to postsecondary education for individuals serving a term of confinement with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2018 c 82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w:t>
      </w:r>
      <w:r>
        <w:rPr>
          <w:u w:val="single"/>
        </w:rPr>
        <w:t xml:space="preserve">family and youth development programs,</w:t>
      </w:r>
      <w:r>
        <w:rPr/>
        <w:t xml:space="preserve">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 </w:t>
      </w:r>
      <w:r>
        <w:rPr>
          <w:u w:val="single"/>
        </w:rPr>
        <w:t xml:space="preserve">and may be performed while an individual is serving confinement</w:t>
      </w:r>
      <w:r>
        <w:rPr/>
        <w:t xml:space="preserve">;</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0" w:after="0" w:line="408" w:lineRule="exact"/>
        <w:ind w:left="0" w:right="0" w:firstLine="576"/>
        <w:jc w:val="left"/>
      </w:pPr>
      <w:r>
        <w:rPr>
          <w:u w:val="single"/>
        </w:rPr>
        <w:t xml:space="preserve">(39) "Community juvenile accountability act advisory committee" means a committee consisting of representatives from the department and juvenile courts. The purpose of the committee is to provide oversight and structure to the juvenile courts in an effort to provide a continuum of evidence-based, research-based, and promising juvenile court programs consistent with state law. The committee selects a chair and vice chair elected by the committee's membership.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2018 c 162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w:t>
      </w:r>
      <w:r>
        <w:t>((</w:t>
      </w:r>
      <w:r>
        <w:rPr>
          <w:strike/>
        </w:rPr>
        <w:t xml:space="preserve">a lesser included</w:t>
      </w:r>
      <w:r>
        <w:t>))</w:t>
      </w:r>
      <w:r>
        <w:rPr/>
        <w:t xml:space="preserve"> </w:t>
      </w:r>
      <w:r>
        <w:rPr>
          <w:u w:val="single"/>
        </w:rPr>
        <w:t xml:space="preserve">an</w:t>
      </w:r>
      <w:r>
        <w:rPr/>
        <w:t xml:space="preserve">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 </w:t>
      </w:r>
      <w:r>
        <w:t>((</w:t>
      </w:r>
      <w:r>
        <w:rPr>
          <w:strike/>
        </w:rPr>
        <w:t xml:space="preserve">However, once the case is returned to juvenile court, the court may hold a decline hearing pursuant to RCW 13.40.110 to determine whether to retain the case in juvenile court for the purpose of disposition or return the case to adult criminal court for sentencing.</w:t>
      </w:r>
      <w:r>
        <w:t>))</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w:t>
      </w:r>
      <w:r>
        <w:t>((</w:t>
      </w:r>
      <w:r>
        <w:rPr>
          <w:strike/>
        </w:rPr>
        <w:t xml:space="preserve">and 26.26</w:t>
      </w:r>
      <w:r>
        <w:t>))</w:t>
      </w:r>
      <w:r>
        <w:rPr>
          <w:u w:val="single"/>
        </w:rPr>
        <w:t xml:space="preserve">, 26.26A, or 26.26B</w:t>
      </w:r>
      <w:r>
        <w:rPr/>
        <w:t xml:space="preserve">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2018 c 162 s 3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500"/>
        <w:gridCol w:w="2300"/>
        <w:gridCol w:w="1240"/>
        <w:gridCol w:w="56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7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80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760" w:type="dxa"/>
            <w:vAlign w:val="top"/>
            <w:tcMar>
              <w:left w:w="0"/>
            </w:tcMar>
            <w:tcMar>
              <w:right w:w="0"/>
            </w:tcMar>
            <w:tcMar>
              <w:top w:w="0"/>
            </w:tcMar>
            <w:tcMar>
              <w:bottom w:w="0"/>
            </w:tcMar>
          </w:tcPr>
          <w:p>
            <w:pPr>
              <w:spacing w:before="0" w:after="0" w:line="408" w:lineRule="exact"/>
              <w:ind w:left="0" w:right="0" w:firstLine="0"/>
              <w:jc w:val="left"/>
            </w:pPr>
          </w:p>
        </w:tc>
        <w:tc>
          <w:tcPr>
            <w:gridSpan w:val="3"/>
            <w:tcW w:w="41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 age 15 or under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 age 16 or 17</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 Drug (69.41.030(2)(b))</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 (9A.56.310)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w:t>
            </w:r>
            <w:r>
              <w:t>((</w:t>
            </w:r>
            <w:r>
              <w:rPr>
                <w:rFonts w:ascii="Times New Roman" w:hAnsi="Times New Roman"/>
                <w:strike/>
                <w:sz w:val="20"/>
              </w:rPr>
              <w:t xml:space="preserve">(iv)</w:t>
            </w:r>
            <w:r>
              <w:t>))</w:t>
            </w:r>
            <w:r>
              <w:rPr>
                <w:rFonts w:ascii="Times New Roman" w:hAnsi="Times New Roman"/>
                <w:sz w:val="20"/>
              </w:rPr>
              <w:t xml:space="preserve"> </w:t>
            </w:r>
            <w:r>
              <w:rPr>
                <w:rFonts w:ascii="Times New Roman" w:hAnsi="Times New Roman"/>
                <w:sz w:val="20"/>
                <w:u w:val="single"/>
              </w:rPr>
              <w:t xml:space="preserve">(v)</w:t>
            </w:r>
            <w:r>
              <w:rPr>
                <w:rFonts w:ascii="Times New Roman" w:hAnsi="Times New Roman"/>
                <w:sz w:val="20"/>
              </w:rPr>
              <w:t xml:space="preserve">)</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 committed at age 14 or under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 committed at age 15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 age 15 or under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 age 16 or 17</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56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56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5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56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w:t>
            </w:r>
            <w:r>
              <w:t>((</w:t>
            </w:r>
            <w:r>
              <w:rPr>
                <w:rFonts w:ascii="Times New Roman" w:hAnsi="Times New Roman"/>
                <w:strike/>
                <w:sz w:val="20"/>
              </w:rPr>
              <w:t xml:space="preserve">age 21</w:t>
            </w:r>
            <w:r>
              <w:t>))</w:t>
            </w:r>
            <w:r>
              <w:rPr>
                <w:rFonts w:ascii="Times New Roman" w:hAnsi="Times New Roman"/>
                <w:sz w:val="20"/>
              </w:rPr>
              <w:t xml:space="preserve"> </w:t>
            </w:r>
            <w:r>
              <w:rPr>
                <w:rFonts w:ascii="Times New Roman" w:hAnsi="Times New Roman"/>
                <w:sz w:val="20"/>
                <w:u w:val="single"/>
              </w:rPr>
              <w:t xml:space="preserve">the maximum age of juvenile court jurisdiction</w:t>
            </w:r>
          </w:p>
          <w:p>
            <w:pPr>
              <w:spacing w:before="0" w:after="0" w:line="408" w:lineRule="exact"/>
              <w:ind w:left="0" w:right="0" w:firstLine="0"/>
              <w:jc w:val="center"/>
            </w:pPr>
            <w:r>
              <w:rPr>
                <w:rFonts w:ascii="Times New Roman" w:hAnsi="Times New Roman"/>
                <w:sz w:val="20"/>
              </w:rPr>
              <w:t xml:space="preserve">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2018 c 162 s 4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only if:</w:t>
      </w:r>
    </w:p>
    <w:p>
      <w:pPr>
        <w:spacing w:before="0" w:after="0" w:line="408" w:lineRule="exact"/>
        <w:ind w:left="0" w:right="0" w:firstLine="576"/>
        <w:jc w:val="left"/>
      </w:pPr>
      <w:r>
        <w:rPr/>
        <w:t xml:space="preserve">(a) The respondent is, at the time of proceedings, at least fifteen years of age or older and is charged with a serious violent offense as defined in RCW 9.94A.030; </w:t>
      </w:r>
      <w:r>
        <w:t>((</w:t>
      </w:r>
      <w:r>
        <w:rPr>
          <w:strike/>
        </w:rPr>
        <w:t xml:space="preserve">or</w:t>
      </w:r>
      <w:r>
        <w:t>))</w:t>
      </w:r>
    </w:p>
    <w:p>
      <w:pPr>
        <w:spacing w:before="0" w:after="0" w:line="408" w:lineRule="exact"/>
        <w:ind w:left="0" w:right="0" w:firstLine="576"/>
        <w:jc w:val="left"/>
      </w:pPr>
      <w:r>
        <w:rPr/>
        <w:t xml:space="preserve">(b) The respondent is, at the time of proceedings, fourteen years of age or younger and is charged with murder in the first degree (RCW 9A.32.030), and/or murder in the second degree (RCW 9A.32.050)</w:t>
      </w:r>
      <w:r>
        <w:rPr>
          <w:u w:val="single"/>
        </w:rPr>
        <w:t xml:space="preserve">; or</w:t>
      </w:r>
    </w:p>
    <w:p>
      <w:pPr>
        <w:spacing w:before="0" w:after="0" w:line="408" w:lineRule="exact"/>
        <w:ind w:left="0" w:right="0" w:firstLine="576"/>
        <w:jc w:val="left"/>
      </w:pPr>
      <w:r>
        <w:rPr>
          <w:u w:val="single"/>
        </w:rPr>
        <w:t xml:space="preserve">(c) The respondent is under age eighteen and: (i) Is charged with custodial assault under RCW 9A.36.100; (ii) has a criminal history which includes a prior conviction for custodial assault; and (iii) is serving a minimum juvenile sentence to age twenty-one or longer</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 the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2018 c 162 s 7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t xml:space="preserve">(ii) If the order fails to specify a specific date, it shall be presumed that jurisdiction is extended to age twenty-one; and</w:t>
      </w:r>
    </w:p>
    <w:p>
      <w:pPr>
        <w:spacing w:before="0" w:after="0" w:line="408" w:lineRule="exact"/>
        <w:ind w:left="0" w:right="0" w:firstLine="576"/>
        <w:jc w:val="left"/>
      </w:pPr>
      <w:r>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w:t>
      </w:r>
      <w:r>
        <w:t>((</w:t>
      </w:r>
      <w:r>
        <w:rPr>
          <w:strike/>
        </w:rPr>
        <w:t xml:space="preserve">a lesser included</w:t>
      </w:r>
      <w:r>
        <w:t>))</w:t>
      </w:r>
      <w:r>
        <w:rPr/>
        <w:t xml:space="preserve"> </w:t>
      </w:r>
      <w:r>
        <w:rPr>
          <w:u w:val="single"/>
        </w:rPr>
        <w:t xml:space="preserve">an</w:t>
      </w:r>
      <w:r>
        <w:rPr/>
        <w:t xml:space="preserve"> offense </w:t>
      </w:r>
      <w:r>
        <w:rPr>
          <w:u w:val="single"/>
        </w:rPr>
        <w:t xml:space="preserve">that is not also an offense listed under RCW 13.04.030(1)(e)(v)</w:t>
      </w:r>
      <w:r>
        <w:rPr/>
        <w:t xml:space="preserve">, and an automatic extension is necessary to impose the </w:t>
      </w:r>
      <w:r>
        <w:rPr>
          <w:u w:val="single"/>
        </w:rPr>
        <w:t xml:space="preserve">juvenile</w:t>
      </w:r>
      <w:r>
        <w:rPr/>
        <w:t xml:space="preserv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twenty-first birthday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twenty-first birthday.</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provide secure internet access to individuals serving a term of confinement with the department. The department shall develop rules to determine which individuals are eligible to use this secure internet and for ensuring that the secure internet used by individuals serving a term of confinement with the department is used appropriately.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in coordination with the consolidated technology services agency under chapter 43.105 RCW site testing to provide individuals serving a term of confinement with the department with access to digital learning through secure laptops.</w:t>
      </w:r>
    </w:p>
    <w:p>
      <w:pPr>
        <w:spacing w:before="0" w:after="0" w:line="408" w:lineRule="exact"/>
        <w:ind w:left="0" w:right="0" w:firstLine="576"/>
        <w:jc w:val="left"/>
      </w:pPr>
      <w:r>
        <w:rPr/>
        <w:t xml:space="preserve">(2) The site testing in this section must focus on providing individuals serving a term of confinement with the department with opportunities for credit retrieval, coursework leading toward high school graduation or the equivalent, and vocational education including certification.</w:t>
      </w:r>
    </w:p>
    <w:p>
      <w:pPr>
        <w:spacing w:before="0" w:after="0" w:line="408" w:lineRule="exact"/>
        <w:ind w:left="0" w:right="0" w:firstLine="576"/>
        <w:jc w:val="left"/>
      </w:pPr>
      <w:r>
        <w:rPr/>
        <w:t xml:space="preserve">(3) The department shall design the components of the site testing under this section by October 1, 2019, and shall implement the site testing from October 1, 2019, until July 1, 2021.</w:t>
      </w:r>
    </w:p>
    <w:p>
      <w:pPr>
        <w:spacing w:before="0" w:after="0" w:line="408" w:lineRule="exact"/>
        <w:ind w:left="0" w:right="0" w:firstLine="576"/>
        <w:jc w:val="left"/>
      </w:pPr>
      <w:r>
        <w:rPr/>
        <w:t xml:space="preserve">(4) The department shall provide a report to the legislature in compliance with RCW 43.01.036 by December 1, 2020, that includes a description of the site testing, the number of individuals serving a term of confinement with the department participating in the site testing, outcomes achieved by the site testing, and recommendations regarding expansion of the service.</w:t>
      </w:r>
    </w:p>
    <w:p>
      <w:pPr>
        <w:spacing w:before="0" w:after="0" w:line="408" w:lineRule="exact"/>
        <w:ind w:left="0" w:right="0" w:firstLine="576"/>
        <w:jc w:val="left"/>
      </w:pPr>
      <w:r>
        <w:rPr/>
        <w:t xml:space="preserve">(5) This section expires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provide mobile construction preapprenticeship training programs and postsecondary education opportunities to individuals serving a term of confinement with the department. The preapprenticeship training programs under this section must provide technical training with hands-on work experience.</w:t>
      </w:r>
    </w:p>
    <w:p>
      <w:pPr>
        <w:spacing w:before="0" w:after="0" w:line="408" w:lineRule="exact"/>
        <w:ind w:left="0" w:right="0" w:firstLine="576"/>
        <w:jc w:val="left"/>
      </w:pPr>
      <w:r>
        <w:rPr/>
        <w:t xml:space="preserve">(2) The department shall provide an annual report to the legislature in compliance with RCW 43.01.036 on December 1, 2020, regarding the preapprenticeship programs and postsecondary education opportunities provided to individuals serving a term of confinement with the department and any recommendations to support or expand these programs.</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 convene a background check work group to:</w:t>
      </w:r>
    </w:p>
    <w:p>
      <w:pPr>
        <w:spacing w:before="0" w:after="0" w:line="408" w:lineRule="exact"/>
        <w:ind w:left="0" w:right="0" w:firstLine="576"/>
        <w:jc w:val="left"/>
      </w:pPr>
      <w:r>
        <w:rPr/>
        <w:t xml:space="preserve">(a) Explore barriers imposed by background check requirements in state law including RCW 43.43.830 and in policy that prevent individuals with criminal history from providing mentoring to individuals serving a term of confinement with the department; and</w:t>
      </w:r>
    </w:p>
    <w:p>
      <w:pPr>
        <w:spacing w:before="0" w:after="0" w:line="408" w:lineRule="exact"/>
        <w:ind w:left="0" w:right="0" w:firstLine="576"/>
        <w:jc w:val="left"/>
      </w:pPr>
      <w:r>
        <w:rPr/>
        <w:t xml:space="preserve">(b) Consider whether an individual's certificate of restoration of opportunity under RCW 9.97.020 could be used to allow individuals with criminal history to provide mentoring to individuals serving a term of confinement with the department.</w:t>
      </w:r>
    </w:p>
    <w:p>
      <w:pPr>
        <w:spacing w:before="0" w:after="0" w:line="408" w:lineRule="exact"/>
        <w:ind w:left="0" w:right="0" w:firstLine="576"/>
        <w:jc w:val="left"/>
      </w:pPr>
      <w:r>
        <w:rPr/>
        <w:t xml:space="preserve">(2) The department shall convene the first meeting of the background check work group by August 31, 2019, and include:</w:t>
      </w:r>
    </w:p>
    <w:p>
      <w:pPr>
        <w:spacing w:before="0" w:after="0" w:line="408" w:lineRule="exact"/>
        <w:ind w:left="0" w:right="0" w:firstLine="576"/>
        <w:jc w:val="left"/>
      </w:pPr>
      <w:r>
        <w:rPr/>
        <w:t xml:space="preserve">(a) Representatives from the department;</w:t>
      </w:r>
    </w:p>
    <w:p>
      <w:pPr>
        <w:spacing w:before="0" w:after="0" w:line="408" w:lineRule="exact"/>
        <w:ind w:left="0" w:right="0" w:firstLine="576"/>
        <w:jc w:val="left"/>
      </w:pPr>
      <w:r>
        <w:rPr/>
        <w:t xml:space="preserve">(b) Individuals with previous or current experience with the juvenile justice system; and</w:t>
      </w:r>
    </w:p>
    <w:p>
      <w:pPr>
        <w:spacing w:before="0" w:after="0" w:line="408" w:lineRule="exact"/>
        <w:ind w:left="0" w:right="0" w:firstLine="576"/>
        <w:jc w:val="left"/>
      </w:pPr>
      <w:r>
        <w:rPr/>
        <w:t xml:space="preserve">(c) Representatives from a mentorship program that pairs mentors who have experience in the juvenile justice system and have successfully transformed their lives with young people currently involved with the juvenile justice system.</w:t>
      </w:r>
    </w:p>
    <w:p>
      <w:pPr>
        <w:spacing w:before="0" w:after="0" w:line="408" w:lineRule="exact"/>
        <w:ind w:left="0" w:right="0" w:firstLine="576"/>
        <w:jc w:val="left"/>
      </w:pPr>
      <w:r>
        <w:rPr/>
        <w:t xml:space="preserve">(3) The work group established under this section shall provide a report to the legislature by December 1, 2019, and in compliance with RCW 43.01.036 that outlines recommendations regarding changes to state law or policy that could support mentoring programs for individuals serving a term of confinement with the department.</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shall establish and convene an employment pathways work group to outline a workforce framework for individuals served by the juvenile rehabilitation division of the department. The first meeting of the work group established under this section must occur by August 31, 2019, and include:</w:t>
      </w:r>
    </w:p>
    <w:p>
      <w:pPr>
        <w:spacing w:before="0" w:after="0" w:line="408" w:lineRule="exact"/>
        <w:ind w:left="0" w:right="0" w:firstLine="576"/>
        <w:jc w:val="left"/>
      </w:pPr>
      <w:r>
        <w:rPr/>
        <w:t xml:space="preserve">(a) Representatives from the department;</w:t>
      </w:r>
    </w:p>
    <w:p>
      <w:pPr>
        <w:spacing w:before="0" w:after="0" w:line="408" w:lineRule="exact"/>
        <w:ind w:left="0" w:right="0" w:firstLine="576"/>
        <w:jc w:val="left"/>
      </w:pPr>
      <w:r>
        <w:rPr/>
        <w:t xml:space="preserve">(b) Individuals with previous or current experience with the juvenile justice system; and</w:t>
      </w:r>
    </w:p>
    <w:p>
      <w:pPr>
        <w:spacing w:before="0" w:after="0" w:line="408" w:lineRule="exact"/>
        <w:ind w:left="0" w:right="0" w:firstLine="576"/>
        <w:jc w:val="left"/>
      </w:pPr>
      <w:r>
        <w:rPr/>
        <w:t xml:space="preserve">(c) Workforce representatives including workforce development councils and agency partners.</w:t>
      </w:r>
    </w:p>
    <w:p>
      <w:pPr>
        <w:spacing w:before="0" w:after="0" w:line="408" w:lineRule="exact"/>
        <w:ind w:left="0" w:right="0" w:firstLine="576"/>
        <w:jc w:val="left"/>
      </w:pPr>
      <w:r>
        <w:rPr/>
        <w:t xml:space="preserve">(2) The work group shall provide a report to the legislature by December 1, 2019, that includes recommendations regarding a plan to: (a) Provide compensation to individuals receiving services through the juvenile rehabilitation division of the department; and (b) implement specific work-based learning positions that provide minimum wage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University of Washington shall convene an interdisciplinary work group to develop recommendations for updating policies that support the effective use of evidence-based services for individuals ages eighteen through twenty-five with criminal justice experience. These recommendations shall include whether to include rehabilitation services designed for individuals ages eighteen through twenty-five with criminal justice experience in the descriptive definitions and inventory of evidence-based, research-based, and promising practices under RCW 43.20C.020. The work group convened under this section must include representatives from:</w:t>
      </w:r>
    </w:p>
    <w:p>
      <w:pPr>
        <w:spacing w:before="0" w:after="0" w:line="408" w:lineRule="exact"/>
        <w:ind w:left="0" w:right="0" w:firstLine="576"/>
        <w:jc w:val="left"/>
      </w:pPr>
      <w:r>
        <w:rPr/>
        <w:t xml:space="preserve">(a) The Washington state institute for public policy;</w:t>
      </w:r>
    </w:p>
    <w:p>
      <w:pPr>
        <w:spacing w:before="0" w:after="0" w:line="408" w:lineRule="exact"/>
        <w:ind w:left="0" w:right="0" w:firstLine="576"/>
        <w:jc w:val="left"/>
      </w:pPr>
      <w:r>
        <w:rPr/>
        <w:t xml:space="preserve">(b) The Washington state center for court research of the administrative office of the courts;</w:t>
      </w:r>
    </w:p>
    <w:p>
      <w:pPr>
        <w:spacing w:before="0" w:after="0" w:line="408" w:lineRule="exact"/>
        <w:ind w:left="0" w:right="0" w:firstLine="576"/>
        <w:jc w:val="left"/>
      </w:pPr>
      <w:r>
        <w:rPr/>
        <w:t xml:space="preserve">(c) The alcohol and drug abuse institute at the University of Washington;</w:t>
      </w:r>
    </w:p>
    <w:p>
      <w:pPr>
        <w:spacing w:before="0" w:after="0" w:line="408" w:lineRule="exact"/>
        <w:ind w:left="0" w:right="0" w:firstLine="576"/>
        <w:jc w:val="left"/>
      </w:pPr>
      <w:r>
        <w:rPr/>
        <w:t xml:space="preserve">(d) The department of children, youth, and families;</w:t>
      </w:r>
    </w:p>
    <w:p>
      <w:pPr>
        <w:spacing w:before="0" w:after="0" w:line="408" w:lineRule="exact"/>
        <w:ind w:left="0" w:right="0" w:firstLine="576"/>
        <w:jc w:val="left"/>
      </w:pPr>
      <w:r>
        <w:rPr/>
        <w:t xml:space="preserve">(e) The health care authority;</w:t>
      </w:r>
    </w:p>
    <w:p>
      <w:pPr>
        <w:spacing w:before="0" w:after="0" w:line="408" w:lineRule="exact"/>
        <w:ind w:left="0" w:right="0" w:firstLine="576"/>
        <w:jc w:val="left"/>
      </w:pPr>
      <w:r>
        <w:rPr/>
        <w:t xml:space="preserve">(f) Legislators;</w:t>
      </w:r>
    </w:p>
    <w:p>
      <w:pPr>
        <w:spacing w:before="0" w:after="0" w:line="408" w:lineRule="exact"/>
        <w:ind w:left="0" w:right="0" w:firstLine="576"/>
        <w:jc w:val="left"/>
      </w:pPr>
      <w:r>
        <w:rPr/>
        <w:t xml:space="preserve">(g) The office of innovation, alignment, and accountability under RCW 43.216.035;</w:t>
      </w:r>
    </w:p>
    <w:p>
      <w:pPr>
        <w:spacing w:before="0" w:after="0" w:line="408" w:lineRule="exact"/>
        <w:ind w:left="0" w:right="0" w:firstLine="576"/>
        <w:jc w:val="left"/>
      </w:pPr>
      <w:r>
        <w:rPr/>
        <w:t xml:space="preserve">(h) Individuals under age twenty-five with current or previous experience in the juvenile justice system;</w:t>
      </w:r>
    </w:p>
    <w:p>
      <w:pPr>
        <w:spacing w:before="0" w:after="0" w:line="408" w:lineRule="exact"/>
        <w:ind w:left="0" w:right="0" w:firstLine="576"/>
        <w:jc w:val="left"/>
      </w:pPr>
      <w:r>
        <w:rPr/>
        <w:t xml:space="preserve">(i) Community advocates; and</w:t>
      </w:r>
    </w:p>
    <w:p>
      <w:pPr>
        <w:spacing w:before="0" w:after="0" w:line="408" w:lineRule="exact"/>
        <w:ind w:left="0" w:right="0" w:firstLine="576"/>
        <w:jc w:val="left"/>
      </w:pPr>
      <w:r>
        <w:rPr/>
        <w:t xml:space="preserve">(j) Content experts internal and external to Washington state.</w:t>
      </w:r>
    </w:p>
    <w:p>
      <w:pPr>
        <w:spacing w:before="0" w:after="0" w:line="408" w:lineRule="exact"/>
        <w:ind w:left="0" w:right="0" w:firstLine="576"/>
        <w:jc w:val="left"/>
      </w:pPr>
      <w:r>
        <w:rPr/>
        <w:t xml:space="preserve">(2) The University of Washington must submit the findings and recommendations of the work group to the governor and the legislature by November 1, 2020.</w:t>
      </w:r>
    </w:p>
    <w:p>
      <w:pPr>
        <w:spacing w:before="0" w:after="0" w:line="408" w:lineRule="exact"/>
        <w:ind w:left="0" w:right="0" w:firstLine="576"/>
        <w:jc w:val="left"/>
      </w:pPr>
      <w:r>
        <w:rPr/>
        <w:t xml:space="preserve">(3) This section expires July 1, 2021.</w:t>
      </w:r>
    </w:p>
    <w:p/>
    <w:p>
      <w:pPr>
        <w:jc w:val="center"/>
      </w:pPr>
      <w:r>
        <w:rPr>
          <w:b/>
        </w:rPr>
        <w:t>--- END ---</w:t>
      </w:r>
    </w:p>
    <w:sectPr>
      <w:pgNumType w:start="1"/>
      <w:footerReference xmlns:r="http://schemas.openxmlformats.org/officeDocument/2006/relationships" r:id="R1f81c536fe024d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7f82b53cce4db5" /><Relationship Type="http://schemas.openxmlformats.org/officeDocument/2006/relationships/footer" Target="/word/footer1.xml" Id="R1f81c536fe024d3f" /></Relationships>
</file>