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4c72e35a684338" /></Relationships>
</file>

<file path=word/document.xml><?xml version="1.0" encoding="utf-8"?>
<w:document xmlns:w="http://schemas.openxmlformats.org/wordprocessingml/2006/main">
  <w:body>
    <w:p>
      <w:r>
        <w:t>H-1888.1</w:t>
      </w:r>
    </w:p>
    <w:p>
      <w:pPr>
        <w:jc w:val="center"/>
      </w:pPr>
      <w:r>
        <w:t>_______________________________________________</w:t>
      </w:r>
    </w:p>
    <w:p/>
    <w:p>
      <w:pPr>
        <w:jc w:val="center"/>
      </w:pPr>
      <w:r>
        <w:rPr>
          <w:b/>
        </w:rPr>
        <w:t>HOUSE BILL 2106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Sutherland</w:t>
      </w:r>
    </w:p>
    <w:p/>
    <w:p>
      <w:r>
        <w:rPr>
          <w:t xml:space="preserve">Read first time 02/21/19.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capping the amount of residential property value that is subject to property taxation for state purposes; adding a new section to chapter 84.36 RCW;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property tax levy rate was increased by forty-three percent during the 2017 legislative session. The legislature further finds that the Washington housing market has seen record growth since 2016. The legislature further finds that the combination of the increased state property tax rate and increasing home values has resulted in unprecedented state property tax bills and has put an extraordinary financial burden on local homeowners. The legislature further finds that rising high property taxes increase homelessness and can prohibit young adults from remaining in the housing market. Therefore, the legislature intends to provide tax relief by capping state property taxes for current and future homeowners.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2019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property tax relief to Washington homeowners, as indicated in RCW 82.32.808(2)(e).</w:t>
      </w:r>
    </w:p>
    <w:p>
      <w:pPr>
        <w:spacing w:before="0" w:after="0" w:line="408" w:lineRule="exact"/>
        <w:ind w:left="0" w:right="0" w:firstLine="576"/>
        <w:jc w:val="left"/>
      </w:pPr>
      <w:r>
        <w:rPr/>
        <w:t xml:space="preserve">(3) It is the legislature's specific public policy objective to mitigate the negative externalities associated with high state property taxes. It is the legislature's intent to reduce the rapid growth of state property tax bills for current and future homeowners, in order to reduce the economic burden high state property taxes have imposed on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amount of residential real property value that is subject to property taxation for state purposes is the lesser of that property's assessed value in the assessment year or that property's assessed value in 2019.</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"Residential real property" means a structure or part of a structure that is:</w:t>
      </w:r>
    </w:p>
    <w:p>
      <w:pPr>
        <w:spacing w:before="0" w:after="0" w:line="408" w:lineRule="exact"/>
        <w:ind w:left="0" w:right="0" w:firstLine="576"/>
        <w:jc w:val="left"/>
      </w:pPr>
      <w:r>
        <w:rPr/>
        <w:t xml:space="preserve">(i) Used as a home, residence, or sleeping place by one person or by two or more persons maintaining a common household, including but not limited to single-family residences, units of multiplexes and apartment buildings, mobile homes, and rental property; and</w:t>
      </w:r>
    </w:p>
    <w:p>
      <w:pPr>
        <w:spacing w:before="0" w:after="0" w:line="408" w:lineRule="exact"/>
        <w:ind w:left="0" w:right="0" w:firstLine="576"/>
        <w:jc w:val="left"/>
      </w:pPr>
      <w:r>
        <w:rPr/>
        <w:t xml:space="preserve">(ii) Subject to real property tax.</w:t>
      </w:r>
    </w:p>
    <w:p>
      <w:pPr>
        <w:spacing w:before="0" w:after="0" w:line="408" w:lineRule="exact"/>
        <w:ind w:left="0" w:right="0" w:firstLine="576"/>
        <w:jc w:val="left"/>
      </w:pPr>
      <w:r>
        <w:rPr/>
        <w:t xml:space="preserve">(b) "State property tax levy" is the sum of the state property tax levies levied under RCW 84.52.065.</w:t>
      </w:r>
    </w:p>
    <w:p>
      <w:pPr>
        <w:spacing w:before="0" w:after="0" w:line="408" w:lineRule="exact"/>
        <w:ind w:left="0" w:right="0" w:firstLine="576"/>
        <w:jc w:val="left"/>
      </w:pPr>
      <w:r>
        <w:rPr/>
        <w:t xml:space="preserve">(3) This section is not subject to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proposed amendment to Article VII, section 1 of the state Constitution in House Joint Resolution No.. . . (H-1618/19) is validly submitted to and is approved and ratified by the voters at the next general election, this act takes effect on the date that House Joint Resolution No.. . . (H-1618/19) becomes effective.</w:t>
      </w:r>
    </w:p>
    <w:p/>
    <w:p>
      <w:pPr>
        <w:jc w:val="center"/>
      </w:pPr>
      <w:r>
        <w:rPr>
          <w:b/>
        </w:rPr>
        <w:t>--- END ---</w:t>
      </w:r>
    </w:p>
    <w:sectPr>
      <w:pgNumType w:start="1"/>
      <w:footerReference xmlns:r="http://schemas.openxmlformats.org/officeDocument/2006/relationships" r:id="Rb29bf3dbf9f047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60e70cdfd84b36" /><Relationship Type="http://schemas.openxmlformats.org/officeDocument/2006/relationships/footer" Target="/word/footer1.xml" Id="Rb29bf3dbf9f04731" /></Relationships>
</file>