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615666cfa4290" /></Relationships>
</file>

<file path=word/document.xml><?xml version="1.0" encoding="utf-8"?>
<w:document xmlns:w="http://schemas.openxmlformats.org/wordprocessingml/2006/main">
  <w:body>
    <w:p>
      <w:r>
        <w:t>H-4754.1</w:t>
      </w:r>
    </w:p>
    <w:p>
      <w:pPr>
        <w:jc w:val="center"/>
      </w:pPr>
      <w:r>
        <w:t>_______________________________________________</w:t>
      </w:r>
    </w:p>
    <w:p/>
    <w:p>
      <w:pPr>
        <w:jc w:val="center"/>
      </w:pPr>
      <w:r>
        <w:rPr>
          <w:b/>
        </w:rPr>
        <w:t>SUBSTITUTE HOUSE BILL 2304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Doglio, Dolan, Sells, and Volz)</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leave and industrial insurance benefits;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 However, the employee is not required to deplete all of his or her annual leave and sick leave and can maintain up to forty hours of annual leave and forty hours of sick leave in reserve; </w:t>
      </w:r>
      <w:r>
        <w:rPr>
          <w:u w:val="single"/>
        </w:rPr>
        <w:t xml:space="preserve">and</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w:t>
      </w:r>
      <w:r>
        <w:t>((</w:t>
      </w:r>
      <w:r>
        <w:rPr>
          <w:strike/>
        </w:rPr>
        <w:t xml:space="preserve">; and</w:t>
      </w:r>
    </w:p>
    <w:p>
      <w:pPr>
        <w:spacing w:before="0" w:after="0" w:line="408" w:lineRule="exact"/>
        <w:ind w:left="0" w:right="0" w:firstLine="576"/>
        <w:jc w:val="left"/>
      </w:pPr>
      <w:r>
        <w:rPr>
          <w:strike/>
        </w:rPr>
        <w:t xml:space="preserve">(f) The employee has diligently pursued and been found to be ineligible for benefits under chapter 51.32 RCW if he or she qualifies under (a)(i) of this subsection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
      <w:pPr>
        <w:jc w:val="center"/>
      </w:pPr>
      <w:r>
        <w:rPr>
          <w:b/>
        </w:rPr>
        <w:t>--- END ---</w:t>
      </w:r>
    </w:p>
    <w:sectPr>
      <w:pgNumType w:start="1"/>
      <w:footerReference xmlns:r="http://schemas.openxmlformats.org/officeDocument/2006/relationships" r:id="Re80ec22593bf40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228cc4f3b46d6" /><Relationship Type="http://schemas.openxmlformats.org/officeDocument/2006/relationships/footer" Target="/word/footer1.xml" Id="Re80ec22593bf403e" /></Relationships>
</file>