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a988a4f7614279" /></Relationships>
</file>

<file path=word/document.xml><?xml version="1.0" encoding="utf-8"?>
<w:document xmlns:w="http://schemas.openxmlformats.org/wordprocessingml/2006/main">
  <w:body>
    <w:p>
      <w:r>
        <w:t>H-3733.1</w:t>
      </w:r>
    </w:p>
    <w:p>
      <w:pPr>
        <w:jc w:val="center"/>
      </w:pPr>
      <w:r>
        <w:t>_______________________________________________</w:t>
      </w:r>
    </w:p>
    <w:p/>
    <w:p>
      <w:pPr>
        <w:jc w:val="center"/>
      </w:pPr>
      <w:r>
        <w:rPr>
          <w:b/>
        </w:rPr>
        <w:t>HOUSE BILL 2342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Fitzgibbon, Leavitt, Tharinger, Walen, Doglio, Pollet, and Appleton</w:t>
      </w:r>
    </w:p>
    <w:p/>
    <w:p>
      <w:r>
        <w:rPr>
          <w:t xml:space="preserve">Prefiled 01/09/20.</w:t>
        </w:rPr>
      </w:r>
      <w:r>
        <w:rPr>
          <w:t xml:space="preserve">Read first time 01/13/20.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the timing of comprehensive plan updates required by the growth management act with the timing of shoreline master program updates required by the shoreline management act; amending RCW 36.70A.130 and 90.58.080;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or in accordance with the provisions of subsection </w:t>
      </w:r>
      <w:r>
        <w:t>((</w:t>
      </w:r>
      <w:r>
        <w:rPr>
          <w:strike/>
        </w:rPr>
        <w:t xml:space="preserve">(6)</w:t>
      </w:r>
      <w:r>
        <w:t>))</w:t>
      </w:r>
      <w:r>
        <w:rPr/>
        <w:t xml:space="preserve"> </w:t>
      </w:r>
      <w:r>
        <w:rPr>
          <w:u w:val="single"/>
        </w:rPr>
        <w:t xml:space="preserve">(7)</w:t>
      </w:r>
      <w:r>
        <w:rPr/>
        <w:t xml:space="preserve">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w:t>
      </w:r>
      <w:r>
        <w:t>((</w:t>
      </w:r>
      <w:r>
        <w:rPr>
          <w:strike/>
        </w:rPr>
        <w:t xml:space="preserve">43.21C.031(2)</w:t>
      </w:r>
      <w:r>
        <w:t>))</w:t>
      </w:r>
      <w:r>
        <w:rPr/>
        <w:t xml:space="preserve"> </w:t>
      </w:r>
      <w:r>
        <w:rPr>
          <w:u w:val="single"/>
        </w:rPr>
        <w:t xml:space="preserve">43.21C.440</w:t>
      </w:r>
      <w:r>
        <w:rPr/>
        <w:t xml:space="preserve">,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provided in subsection </w:t>
      </w:r>
      <w:r>
        <w:t>((</w:t>
      </w:r>
      <w:r>
        <w:rPr>
          <w:strike/>
        </w:rPr>
        <w:t xml:space="preserve">(6)</w:t>
      </w:r>
      <w:r>
        <w:t>))</w:t>
      </w:r>
      <w:r>
        <w:rPr/>
        <w:t xml:space="preserve"> </w:t>
      </w:r>
      <w:r>
        <w:rPr>
          <w:u w:val="single"/>
        </w:rPr>
        <w:t xml:space="preserve">(7)</w:t>
      </w:r>
      <w:r>
        <w:rPr/>
        <w:t xml:space="preserve">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w:t>
      </w:r>
      <w:r>
        <w:t>((</w:t>
      </w:r>
      <w:r>
        <w:rPr>
          <w:strike/>
        </w:rPr>
        <w:t xml:space="preserve">(6) and (8)</w:t>
      </w:r>
      <w:r>
        <w:t>))</w:t>
      </w:r>
      <w:r>
        <w:rPr/>
        <w:t xml:space="preserve"> </w:t>
      </w:r>
      <w:r>
        <w:rPr>
          <w:u w:val="single"/>
        </w:rPr>
        <w:t xml:space="preserve">(7) and (9)</w:t>
      </w:r>
      <w:r>
        <w:rPr/>
        <w:t xml:space="preserve">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w:t>
      </w:r>
      <w:r>
        <w:t>((</w:t>
      </w:r>
      <w:r>
        <w:rPr>
          <w:strike/>
        </w:rPr>
        <w:t xml:space="preserve">2015</w:t>
      </w:r>
      <w:r>
        <w:t>))</w:t>
      </w:r>
      <w:r>
        <w:rPr/>
        <w:t xml:space="preserve"> </w:t>
      </w:r>
      <w:r>
        <w:rPr>
          <w:u w:val="single"/>
        </w:rPr>
        <w:t xml:space="preserve">2024</w:t>
      </w:r>
      <w:r>
        <w:rPr/>
        <w:t xml:space="preserve">, and every </w:t>
      </w:r>
      <w:r>
        <w:t>((</w:t>
      </w:r>
      <w:r>
        <w:rPr>
          <w:strike/>
        </w:rPr>
        <w:t xml:space="preserve">eight</w:t>
      </w:r>
      <w:r>
        <w:t>))</w:t>
      </w:r>
      <w:r>
        <w:rPr/>
        <w:t xml:space="preserve"> </w:t>
      </w:r>
      <w:r>
        <w:rPr>
          <w:u w:val="single"/>
        </w:rPr>
        <w:t xml:space="preserve">ten</w:t>
      </w:r>
      <w:r>
        <w:rPr/>
        <w:t xml:space="preserve"> years thereafter, for King, </w:t>
      </w:r>
      <w:r>
        <w:rPr>
          <w:u w:val="single"/>
        </w:rPr>
        <w:t xml:space="preserve">Kitsap,</w:t>
      </w:r>
      <w:r>
        <w:rPr/>
        <w:t xml:space="preserve"> Pierce, and Snohomish counties and the cities within those counties;</w:t>
      </w:r>
    </w:p>
    <w:p>
      <w:pPr>
        <w:spacing w:before="0" w:after="0" w:line="408" w:lineRule="exact"/>
        <w:ind w:left="0" w:right="0" w:firstLine="576"/>
        <w:jc w:val="left"/>
      </w:pPr>
      <w:r>
        <w:rPr/>
        <w:t xml:space="preserve">(b) On or before June 30, </w:t>
      </w:r>
      <w:r>
        <w:t>((</w:t>
      </w:r>
      <w:r>
        <w:rPr>
          <w:strike/>
        </w:rPr>
        <w:t xml:space="preserve">2016</w:t>
      </w:r>
      <w:r>
        <w:t>))</w:t>
      </w:r>
      <w:r>
        <w:rPr/>
        <w:t xml:space="preserve"> </w:t>
      </w:r>
      <w:r>
        <w:rPr>
          <w:u w:val="single"/>
        </w:rPr>
        <w:t xml:space="preserve">2025</w:t>
      </w:r>
      <w:r>
        <w:rPr/>
        <w:t xml:space="preserve">, and every </w:t>
      </w:r>
      <w:r>
        <w:t>((</w:t>
      </w:r>
      <w:r>
        <w:rPr>
          <w:strike/>
        </w:rPr>
        <w:t xml:space="preserve">eight</w:t>
      </w:r>
      <w:r>
        <w:t>))</w:t>
      </w:r>
      <w:r>
        <w:rPr/>
        <w:t xml:space="preserve"> </w:t>
      </w:r>
      <w:r>
        <w:rPr>
          <w:u w:val="single"/>
        </w:rPr>
        <w:t xml:space="preserve">ten</w:t>
      </w:r>
      <w:r>
        <w:rPr/>
        <w:t xml:space="preserve"> years thereafter, for Clallam, Clark, Island, Jefferson, </w:t>
      </w:r>
      <w:r>
        <w:t>((</w:t>
      </w:r>
      <w:r>
        <w:rPr>
          <w:strike/>
        </w:rPr>
        <w:t xml:space="preserve">Kitsap</w:t>
      </w:r>
      <w:r>
        <w:t>))</w:t>
      </w:r>
      <w:r>
        <w:rPr/>
        <w:t xml:space="preserve"> </w:t>
      </w:r>
      <w:r>
        <w:rPr>
          <w:u w:val="single"/>
        </w:rPr>
        <w:t xml:space="preserve">Lewis</w:t>
      </w:r>
      <w:r>
        <w:rPr/>
        <w:t xml:space="preserve">, Mason, San Juan, Skagit, Thurston, and Whatcom counties and the cities within those counties;</w:t>
      </w:r>
    </w:p>
    <w:p>
      <w:pPr>
        <w:spacing w:before="0" w:after="0" w:line="408" w:lineRule="exact"/>
        <w:ind w:left="0" w:right="0" w:firstLine="576"/>
        <w:jc w:val="left"/>
      </w:pPr>
      <w:r>
        <w:rPr/>
        <w:t xml:space="preserve">(c) On or before June 30, </w:t>
      </w:r>
      <w:r>
        <w:t>((</w:t>
      </w:r>
      <w:r>
        <w:rPr>
          <w:strike/>
        </w:rPr>
        <w:t xml:space="preserve">2017</w:t>
      </w:r>
      <w:r>
        <w:t>))</w:t>
      </w:r>
      <w:r>
        <w:rPr/>
        <w:t xml:space="preserve"> </w:t>
      </w:r>
      <w:r>
        <w:rPr>
          <w:u w:val="single"/>
        </w:rPr>
        <w:t xml:space="preserve">2026</w:t>
      </w:r>
      <w:r>
        <w:rPr/>
        <w:t xml:space="preserve">, and every </w:t>
      </w:r>
      <w:r>
        <w:t>((</w:t>
      </w:r>
      <w:r>
        <w:rPr>
          <w:strike/>
        </w:rPr>
        <w:t xml:space="preserve">eight</w:t>
      </w:r>
      <w:r>
        <w:t>))</w:t>
      </w:r>
      <w:r>
        <w:rPr/>
        <w:t xml:space="preserve"> </w:t>
      </w:r>
      <w:r>
        <w:rPr>
          <w:u w:val="single"/>
        </w:rPr>
        <w:t xml:space="preserve">ten</w:t>
      </w:r>
      <w:r>
        <w:rPr/>
        <w:t xml:space="preserve"> years thereafter, for Benton, Chelan, Cowlitz, Douglas, </w:t>
      </w:r>
      <w:r>
        <w:rPr>
          <w:u w:val="single"/>
        </w:rPr>
        <w:t xml:space="preserve">Franklin,</w:t>
      </w:r>
      <w:r>
        <w:rPr/>
        <w:t xml:space="preserve"> Kittitas, </w:t>
      </w:r>
      <w:r>
        <w:t>((</w:t>
      </w:r>
      <w:r>
        <w:rPr>
          <w:strike/>
        </w:rPr>
        <w:t xml:space="preserve">Lewis,</w:t>
      </w:r>
      <w:r>
        <w:t>))</w:t>
      </w:r>
      <w:r>
        <w:rPr/>
        <w:t xml:space="preserve"> Skamania, Spokane, </w:t>
      </w:r>
      <w:r>
        <w:rPr>
          <w:u w:val="single"/>
        </w:rPr>
        <w:t xml:space="preserve">Walla Walla,</w:t>
      </w:r>
      <w:r>
        <w:rPr/>
        <w:t xml:space="preserve"> and Yakima counties and the cities within those counties; and</w:t>
      </w:r>
    </w:p>
    <w:p>
      <w:pPr>
        <w:spacing w:before="0" w:after="0" w:line="408" w:lineRule="exact"/>
        <w:ind w:left="0" w:right="0" w:firstLine="576"/>
        <w:jc w:val="left"/>
      </w:pPr>
      <w:r>
        <w:rPr/>
        <w:t xml:space="preserve">(d) On or before June 30, </w:t>
      </w:r>
      <w:r>
        <w:t>((</w:t>
      </w:r>
      <w:r>
        <w:rPr>
          <w:strike/>
        </w:rPr>
        <w:t xml:space="preserve">2018</w:t>
      </w:r>
      <w:r>
        <w:t>))</w:t>
      </w:r>
      <w:r>
        <w:rPr/>
        <w:t xml:space="preserve"> </w:t>
      </w:r>
      <w:r>
        <w:rPr>
          <w:u w:val="single"/>
        </w:rPr>
        <w:t xml:space="preserve">2027</w:t>
      </w:r>
      <w:r>
        <w:rPr/>
        <w:t xml:space="preserve">, and every </w:t>
      </w:r>
      <w:r>
        <w:t>((</w:t>
      </w:r>
      <w:r>
        <w:rPr>
          <w:strike/>
        </w:rPr>
        <w:t xml:space="preserve">eight</w:t>
      </w:r>
      <w:r>
        <w:t>))</w:t>
      </w:r>
      <w:r>
        <w:rPr/>
        <w:t xml:space="preserve"> </w:t>
      </w:r>
      <w:r>
        <w:rPr>
          <w:u w:val="single"/>
        </w:rPr>
        <w:t xml:space="preserve">ten</w:t>
      </w:r>
      <w:r>
        <w:rPr/>
        <w:t xml:space="preserve"> years thereafter, for Adams, Asotin, Columbia, Ferry, </w:t>
      </w:r>
      <w:r>
        <w:t>((</w:t>
      </w:r>
      <w:r>
        <w:rPr>
          <w:strike/>
        </w:rPr>
        <w:t xml:space="preserve">Franklin,</w:t>
      </w:r>
      <w:r>
        <w:t>))</w:t>
      </w:r>
      <w:r>
        <w:rPr/>
        <w:t xml:space="preserve"> Garfield, Grant, Grays Harbor, Klickitat, Lincoln, Okanogan, Pacific, Pend Oreille, Stevens, Wahkiakum, </w:t>
      </w:r>
      <w:r>
        <w:t>((</w:t>
      </w:r>
      <w:r>
        <w:rPr>
          <w:strike/>
        </w:rPr>
        <w:t xml:space="preserve">Walla Walla,</w:t>
      </w:r>
      <w:r>
        <w:t>))</w:t>
      </w:r>
      <w:r>
        <w:rPr/>
        <w:t xml:space="preserve"> and Whitman counties and the cities within those counties.</w:t>
      </w:r>
    </w:p>
    <w:p>
      <w:pPr>
        <w:spacing w:before="0" w:after="0" w:line="408" w:lineRule="exact"/>
        <w:ind w:left="0" w:right="0" w:firstLine="576"/>
        <w:jc w:val="left"/>
      </w:pPr>
      <w:r>
        <w:rPr/>
        <w:t xml:space="preserve">(6)(a) </w:t>
      </w:r>
      <w:r>
        <w:rPr>
          <w:u w:val="single"/>
        </w:rPr>
        <w:t xml:space="preserve">No later than five years after each of the deadlines for the review and possible revision of comprehensive plans and development regulations specified in subsection (5) of this section, counties and cities shall take additional action to review and, if needed, revise the following specific elements of their comprehensive plans and development regulations to ensure the plan and regulations comply with the requirements of this chapter:</w:t>
      </w:r>
    </w:p>
    <w:p>
      <w:pPr>
        <w:spacing w:before="0" w:after="0" w:line="408" w:lineRule="exact"/>
        <w:ind w:left="0" w:right="0" w:firstLine="576"/>
        <w:jc w:val="left"/>
      </w:pPr>
      <w:r>
        <w:rPr>
          <w:u w:val="single"/>
        </w:rPr>
        <w:t xml:space="preserve">(i) The housing element of the comprehensive plan; and</w:t>
      </w:r>
    </w:p>
    <w:p>
      <w:pPr>
        <w:spacing w:before="0" w:after="0" w:line="408" w:lineRule="exact"/>
        <w:ind w:left="0" w:right="0" w:firstLine="576"/>
        <w:jc w:val="left"/>
      </w:pPr>
      <w:r>
        <w:rPr>
          <w:u w:val="single"/>
        </w:rPr>
        <w:t xml:space="preserve">(ii) The protection of critical areas as provided in the rural element of the comprehensive plan, in order to incorporate the best available science regarding the protection of critical areas.</w:t>
      </w:r>
    </w:p>
    <w:p>
      <w:pPr>
        <w:spacing w:before="0" w:after="0" w:line="408" w:lineRule="exact"/>
        <w:ind w:left="0" w:right="0" w:firstLine="576"/>
        <w:jc w:val="left"/>
      </w:pPr>
      <w:r>
        <w:rPr>
          <w:u w:val="single"/>
        </w:rPr>
        <w:t xml:space="preserve">(b) The department shall adopt rules to specify additional elements, if any, of comprehensive plans and development regulations that must be updated pursuant to this subsection (6) in order to ensure that comprehensive plans and development regulations comply with the requirements of this chapter.</w:t>
      </w:r>
    </w:p>
    <w:p>
      <w:pPr>
        <w:spacing w:before="0" w:after="0" w:line="408" w:lineRule="exact"/>
        <w:ind w:left="0" w:right="0" w:firstLine="576"/>
        <w:jc w:val="left"/>
      </w:pPr>
      <w:r>
        <w:rPr>
          <w:u w:val="single"/>
        </w:rPr>
        <w:t xml:space="preserve">(c) Updates to comprehensive plans and development regulations made pursuant to this subsection (6) are subject to appeal to the growth management hearings board under RCW 36.70A.280.</w:t>
      </w:r>
    </w:p>
    <w:p>
      <w:pPr>
        <w:spacing w:before="0" w:after="0" w:line="408" w:lineRule="exact"/>
        <w:ind w:left="0" w:right="0" w:firstLine="576"/>
        <w:jc w:val="left"/>
      </w:pPr>
      <w:r>
        <w:rPr>
          <w:u w:val="single"/>
        </w:rPr>
        <w:t xml:space="preserve">(7)(a)</w:t>
      </w:r>
      <w:r>
        <w:rPr/>
        <w:t xml:space="preserve">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t xml:space="preserve">(e)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(f)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(g)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 or</w:t>
      </w:r>
    </w:p>
    <w:p>
      <w:pPr>
        <w:spacing w:before="0" w:after="0" w:line="408" w:lineRule="exact"/>
        <w:ind w:left="0" w:right="0" w:firstLine="576"/>
        <w:jc w:val="left"/>
      </w:pPr>
      <w:r>
        <w:rPr/>
        <w:t xml:space="preserve">(iii) Complying with the extension provisions of subsection </w:t>
      </w:r>
      <w:r>
        <w:t>((</w:t>
      </w:r>
      <w:r>
        <w:rPr>
          <w:strike/>
        </w:rPr>
        <w:t xml:space="preserve">(6)</w:t>
      </w:r>
      <w:r>
        <w:t>))</w:t>
      </w:r>
      <w:r>
        <w:rPr/>
        <w:t xml:space="preserve"> </w:t>
      </w:r>
      <w:r>
        <w:rPr>
          <w:u w:val="single"/>
        </w:rPr>
        <w:t xml:space="preserve">(7)</w:t>
      </w:r>
      <w:r>
        <w:rPr/>
        <w:t xml:space="preserve">(b), (c), or (d) of this section.</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w:t>
      </w:r>
      <w:r>
        <w:t>((</w:t>
      </w:r>
      <w:r>
        <w:rPr>
          <w:strike/>
        </w:rPr>
        <w:t xml:space="preserve">(8)</w:t>
      </w:r>
      <w:r>
        <w:t>))</w:t>
      </w:r>
      <w:r>
        <w:rPr/>
        <w:t xml:space="preserve"> </w:t>
      </w:r>
      <w:r>
        <w:rPr>
          <w:u w:val="single"/>
        </w:rPr>
        <w:t xml:space="preserve">(9)</w:t>
      </w:r>
      <w:r>
        <w:rPr/>
        <w:t xml:space="preserve">(c) does not apply to a participating watershed that has determined under RCW 36.70A.720(2)(c)(ii) that the watershed's goals and benchmarks for protection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2011 c 353 s 13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ten</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w:t>
      </w:r>
      <w:r>
        <w:t>((</w:t>
      </w:r>
      <w:r>
        <w:rPr>
          <w:strike/>
        </w:rPr>
        <w:t xml:space="preserve">2019</w:t>
      </w:r>
      <w:r>
        <w:t>))</w:t>
      </w:r>
      <w:r>
        <w:rPr/>
        <w:t xml:space="preserve"> </w:t>
      </w:r>
      <w:r>
        <w:rPr>
          <w:u w:val="single"/>
        </w:rPr>
        <w:t xml:space="preserve">2029</w:t>
      </w:r>
      <w:r>
        <w:rPr/>
        <w:t xml:space="preserve">, and every </w:t>
      </w:r>
      <w:r>
        <w:t>((</w:t>
      </w:r>
      <w:r>
        <w:rPr>
          <w:strike/>
        </w:rPr>
        <w:t xml:space="preserve">eight</w:t>
      </w:r>
      <w:r>
        <w:t>))</w:t>
      </w:r>
      <w:r>
        <w:rPr/>
        <w:t xml:space="preserve"> </w:t>
      </w:r>
      <w:r>
        <w:rPr>
          <w:u w:val="single"/>
        </w:rPr>
        <w:t xml:space="preserve">ten</w:t>
      </w:r>
      <w:r>
        <w:rPr/>
        <w:t xml:space="preserve"> years thereafter, for King, </w:t>
      </w:r>
      <w:r>
        <w:rPr>
          <w:u w:val="single"/>
        </w:rPr>
        <w:t xml:space="preserve">Kitsap,</w:t>
      </w:r>
      <w:r>
        <w:rPr/>
        <w:t xml:space="preserve"> Pierce, and Snohomish counties and the cities within those counties;</w:t>
      </w:r>
    </w:p>
    <w:p>
      <w:pPr>
        <w:spacing w:before="0" w:after="0" w:line="408" w:lineRule="exact"/>
        <w:ind w:left="0" w:right="0" w:firstLine="576"/>
        <w:jc w:val="left"/>
      </w:pPr>
      <w:r>
        <w:rPr/>
        <w:t xml:space="preserve">(ii) On or before June 30, </w:t>
      </w:r>
      <w:r>
        <w:t>((</w:t>
      </w:r>
      <w:r>
        <w:rPr>
          <w:strike/>
        </w:rPr>
        <w:t xml:space="preserve">2020</w:t>
      </w:r>
      <w:r>
        <w:t>))</w:t>
      </w:r>
      <w:r>
        <w:rPr/>
        <w:t xml:space="preserve"> </w:t>
      </w:r>
      <w:r>
        <w:rPr>
          <w:u w:val="single"/>
        </w:rPr>
        <w:t xml:space="preserve">2030</w:t>
      </w:r>
      <w:r>
        <w:rPr/>
        <w:t xml:space="preserve">, and every </w:t>
      </w:r>
      <w:r>
        <w:t>((</w:t>
      </w:r>
      <w:r>
        <w:rPr>
          <w:strike/>
        </w:rPr>
        <w:t xml:space="preserve">eight</w:t>
      </w:r>
      <w:r>
        <w:t>))</w:t>
      </w:r>
      <w:r>
        <w:rPr/>
        <w:t xml:space="preserve"> </w:t>
      </w:r>
      <w:r>
        <w:rPr>
          <w:u w:val="single"/>
        </w:rPr>
        <w:t xml:space="preserve">ten</w:t>
      </w:r>
      <w:r>
        <w:rPr/>
        <w:t xml:space="preserve"> years thereafter, for Clallam, Clark, Island, Jefferson, </w:t>
      </w:r>
      <w:r>
        <w:t>((</w:t>
      </w:r>
      <w:r>
        <w:rPr>
          <w:strike/>
        </w:rPr>
        <w:t xml:space="preserve">Kitsap</w:t>
      </w:r>
      <w:r>
        <w:t>))</w:t>
      </w:r>
      <w:r>
        <w:rPr/>
        <w:t xml:space="preserve"> </w:t>
      </w:r>
      <w:r>
        <w:rPr>
          <w:u w:val="single"/>
        </w:rPr>
        <w:t xml:space="preserve">Lewis</w:t>
      </w:r>
      <w:r>
        <w:rPr/>
        <w:t xml:space="preserve">, Mason, San Juan, Skagit, Thurston, and Whatcom counties and the cities within those counties;</w:t>
      </w:r>
    </w:p>
    <w:p>
      <w:pPr>
        <w:spacing w:before="0" w:after="0" w:line="408" w:lineRule="exact"/>
        <w:ind w:left="0" w:right="0" w:firstLine="576"/>
        <w:jc w:val="left"/>
      </w:pPr>
      <w:r>
        <w:rPr/>
        <w:t xml:space="preserve">(iii) On or before June 30, </w:t>
      </w:r>
      <w:r>
        <w:t>((</w:t>
      </w:r>
      <w:r>
        <w:rPr>
          <w:strike/>
        </w:rPr>
        <w:t xml:space="preserve">2021</w:t>
      </w:r>
      <w:r>
        <w:t>))</w:t>
      </w:r>
      <w:r>
        <w:rPr/>
        <w:t xml:space="preserve"> </w:t>
      </w:r>
      <w:r>
        <w:rPr>
          <w:u w:val="single"/>
        </w:rPr>
        <w:t xml:space="preserve">2031</w:t>
      </w:r>
      <w:r>
        <w:rPr/>
        <w:t xml:space="preserve">, and every </w:t>
      </w:r>
      <w:r>
        <w:t>((</w:t>
      </w:r>
      <w:r>
        <w:rPr>
          <w:strike/>
        </w:rPr>
        <w:t xml:space="preserve">eight</w:t>
      </w:r>
      <w:r>
        <w:t>))</w:t>
      </w:r>
      <w:r>
        <w:rPr/>
        <w:t xml:space="preserve"> </w:t>
      </w:r>
      <w:r>
        <w:rPr>
          <w:u w:val="single"/>
        </w:rPr>
        <w:t xml:space="preserve">ten</w:t>
      </w:r>
      <w:r>
        <w:rPr/>
        <w:t xml:space="preserve"> years thereafter, for Benton, Chelan, Cowlitz, Douglas, </w:t>
      </w:r>
      <w:r>
        <w:t>((</w:t>
      </w:r>
      <w:r>
        <w:rPr>
          <w:strike/>
        </w:rPr>
        <w:t xml:space="preserve">Grant,</w:t>
      </w:r>
      <w:r>
        <w:t>))</w:t>
      </w:r>
      <w:r>
        <w:rPr/>
        <w:t xml:space="preserve"> </w:t>
      </w:r>
      <w:r>
        <w:rPr>
          <w:u w:val="single"/>
        </w:rPr>
        <w:t xml:space="preserve">Franklin,</w:t>
      </w:r>
      <w:r>
        <w:rPr/>
        <w:t xml:space="preserve"> Kittitas, </w:t>
      </w:r>
      <w:r>
        <w:t>((</w:t>
      </w:r>
      <w:r>
        <w:rPr>
          <w:strike/>
        </w:rPr>
        <w:t xml:space="preserve">Lewis,</w:t>
      </w:r>
      <w:r>
        <w:t>))</w:t>
      </w:r>
      <w:r>
        <w:rPr/>
        <w:t xml:space="preserve"> Skamania, Spokane, </w:t>
      </w:r>
      <w:r>
        <w:rPr>
          <w:u w:val="single"/>
        </w:rPr>
        <w:t xml:space="preserve">Walla Walla,</w:t>
      </w:r>
      <w:r>
        <w:rPr/>
        <w:t xml:space="preserve"> and Yakima counties and the cities within those counties; and</w:t>
      </w:r>
    </w:p>
    <w:p>
      <w:pPr>
        <w:spacing w:before="0" w:after="0" w:line="408" w:lineRule="exact"/>
        <w:ind w:left="0" w:right="0" w:firstLine="576"/>
        <w:jc w:val="left"/>
      </w:pPr>
      <w:r>
        <w:rPr/>
        <w:t xml:space="preserve">(iv) On or before June 30, </w:t>
      </w:r>
      <w:r>
        <w:t>((</w:t>
      </w:r>
      <w:r>
        <w:rPr>
          <w:strike/>
        </w:rPr>
        <w:t xml:space="preserve">2022</w:t>
      </w:r>
      <w:r>
        <w:t>))</w:t>
      </w:r>
      <w:r>
        <w:rPr/>
        <w:t xml:space="preserve"> </w:t>
      </w:r>
      <w:r>
        <w:rPr>
          <w:u w:val="single"/>
        </w:rPr>
        <w:t xml:space="preserve">2032</w:t>
      </w:r>
      <w:r>
        <w:rPr/>
        <w:t xml:space="preserve">, and every </w:t>
      </w:r>
      <w:r>
        <w:t>((</w:t>
      </w:r>
      <w:r>
        <w:rPr>
          <w:strike/>
        </w:rPr>
        <w:t xml:space="preserve">eight</w:t>
      </w:r>
      <w:r>
        <w:t>))</w:t>
      </w:r>
      <w:r>
        <w:rPr/>
        <w:t xml:space="preserve"> </w:t>
      </w:r>
      <w:r>
        <w:rPr>
          <w:u w:val="single"/>
        </w:rPr>
        <w:t xml:space="preserve">ten</w:t>
      </w:r>
      <w:r>
        <w:rPr/>
        <w:t xml:space="preserve"> years thereafter, for Adams, Asotin, Columbia, Ferry, </w:t>
      </w:r>
      <w:r>
        <w:t>((</w:t>
      </w:r>
      <w:r>
        <w:rPr>
          <w:strike/>
        </w:rPr>
        <w:t xml:space="preserve">Franklin,</w:t>
      </w:r>
      <w:r>
        <w:t>))</w:t>
      </w:r>
      <w:r>
        <w:rPr/>
        <w:t xml:space="preserve"> Garfield, Grant, Grays Harbor, Klickitat, Lincoln, Okanogan, Pacific, Pend Oreille, Stevens, Wahkiakum, </w:t>
      </w:r>
      <w:r>
        <w:t>((</w:t>
      </w:r>
      <w:r>
        <w:rPr>
          <w:strike/>
        </w:rPr>
        <w:t xml:space="preserve">Walla Walla,</w:t>
      </w:r>
      <w:r>
        <w:t>))</w:t>
      </w:r>
      <w:r>
        <w:rPr/>
        <w:t xml:space="preserve"> and Whitman counties and the cities within those counties.</w:t>
      </w:r>
    </w:p>
    <w:p>
      <w:pPr>
        <w:spacing w:before="0" w:after="0" w:line="408" w:lineRule="exact"/>
        <w:ind w:left="0" w:right="0" w:firstLine="576"/>
        <w:jc w:val="left"/>
      </w:pPr>
      <w:r>
        <w:rPr/>
        <w:t xml:space="preserve">(5) In meeting the update requirements of subsection (2)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update requirements of subsection (2) of this section, the following shall apply:</w:t>
      </w:r>
    </w:p>
    <w:p>
      <w:pPr>
        <w:spacing w:before="0" w:after="0" w:line="408" w:lineRule="exact"/>
        <w:ind w:left="0" w:right="0" w:firstLine="576"/>
        <w:jc w:val="left"/>
      </w:pPr>
      <w:r>
        <w:rPr/>
        <w:t xml:space="preserve">(a) Grants to local governments for developing and amending master programs pursuant to the schedule established by this section shall be provided at least two years before the adoption dates specified in subsection (2)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(2) of this section. Any local government that applies for but does not receive funding to comply with the provisions of subsection (2)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development or amendment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update requirements of subsection (2)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
      <w:pPr>
        <w:jc w:val="center"/>
      </w:pPr>
      <w:r>
        <w:rPr>
          <w:b/>
        </w:rPr>
        <w:t>--- END ---</w:t>
      </w:r>
    </w:p>
    <w:sectPr>
      <w:pgNumType w:start="1"/>
      <w:footerReference xmlns:r="http://schemas.openxmlformats.org/officeDocument/2006/relationships" r:id="Rc6ea11cb53964b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68d52d22164b72" /><Relationship Type="http://schemas.openxmlformats.org/officeDocument/2006/relationships/footer" Target="/word/footer1.xml" Id="Rc6ea11cb53964bfd" /></Relationships>
</file>