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7c14b717045b5" /></Relationships>
</file>

<file path=word/document.xml><?xml version="1.0" encoding="utf-8"?>
<w:document xmlns:w="http://schemas.openxmlformats.org/wordprocessingml/2006/main">
  <w:body>
    <w:p>
      <w:r>
        <w:t>Z-0826.1</w:t>
      </w:r>
    </w:p>
    <w:p>
      <w:pPr>
        <w:jc w:val="center"/>
      </w:pPr>
      <w:r>
        <w:t>_______________________________________________</w:t>
      </w:r>
    </w:p>
    <w:p/>
    <w:p>
      <w:pPr>
        <w:jc w:val="center"/>
      </w:pPr>
      <w:r>
        <w:rPr>
          <w:b/>
        </w:rPr>
        <w:t>HOUSE BILL 2455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Eslick, Senn, Ryu, Kloba, Valdez, Bergquist, Davis, Pollet, Goodman, and Wylie; by request of Office of Financial Management</w:t>
      </w:r>
    </w:p>
    <w:p/>
    <w:p>
      <w:r>
        <w:rPr>
          <w:t xml:space="preserve">Read first time 01/14/20.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parent who is attending high school or is working toward completing a high school equivalency certificate is eligible to receive working connections child care.</w:t>
      </w:r>
    </w:p>
    <w:p>
      <w:pPr>
        <w:spacing w:before="0" w:after="0" w:line="408" w:lineRule="exact"/>
        <w:ind w:left="0" w:right="0" w:firstLine="576"/>
        <w:jc w:val="left"/>
      </w:pPr>
      <w:r>
        <w:rPr/>
        <w:t xml:space="preserve">(2) When determining consumer eligibility and copayment under this section, the department:</w:t>
      </w:r>
    </w:p>
    <w:p>
      <w:pPr>
        <w:spacing w:before="0" w:after="0" w:line="408" w:lineRule="exact"/>
        <w:ind w:left="0" w:right="0" w:firstLine="576"/>
        <w:jc w:val="left"/>
      </w:pPr>
      <w:r>
        <w:rPr/>
        <w:t xml:space="preserve">(a) Must treat the parent as his or her own household when determining household income;</w:t>
      </w:r>
    </w:p>
    <w:p>
      <w:pPr>
        <w:spacing w:before="0" w:after="0" w:line="408" w:lineRule="exact"/>
        <w:ind w:left="0" w:right="0" w:firstLine="576"/>
        <w:jc w:val="left"/>
      </w:pPr>
      <w:r>
        <w:rPr/>
        <w:t xml:space="preserve">(b)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(c) May not consider the availability of the other biological parent when authorizing care; and</w:t>
      </w:r>
    </w:p>
    <w:p>
      <w:pPr>
        <w:spacing w:before="0" w:after="0" w:line="408" w:lineRule="exact"/>
        <w:ind w:left="0" w:right="0" w:firstLine="576"/>
        <w:jc w:val="left"/>
      </w:pPr>
      <w:r>
        <w:rPr/>
        <w:t xml:space="preserve">(d)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
      <w:pPr>
        <w:jc w:val="center"/>
      </w:pPr>
      <w:r>
        <w:rPr>
          <w:b/>
        </w:rPr>
        <w:t>--- END ---</w:t>
      </w:r>
    </w:p>
    <w:sectPr>
      <w:pgNumType w:start="1"/>
      <w:footerReference xmlns:r="http://schemas.openxmlformats.org/officeDocument/2006/relationships" r:id="Rb1b54d06e1d649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e64529ee0439c" /><Relationship Type="http://schemas.openxmlformats.org/officeDocument/2006/relationships/footer" Target="/word/footer1.xml" Id="Rb1b54d06e1d649cd" /></Relationships>
</file>