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6de4341044b0f" /></Relationships>
</file>

<file path=word/document.xml><?xml version="1.0" encoding="utf-8"?>
<w:document xmlns:w="http://schemas.openxmlformats.org/wordprocessingml/2006/main">
  <w:body>
    <w:p>
      <w:r>
        <w:t>H-4500.2</w:t>
      </w:r>
    </w:p>
    <w:p>
      <w:pPr>
        <w:jc w:val="center"/>
      </w:pPr>
      <w:r>
        <w:t>_______________________________________________</w:t>
      </w:r>
    </w:p>
    <w:p/>
    <w:p>
      <w:pPr>
        <w:jc w:val="center"/>
      </w:pPr>
      <w:r>
        <w:rPr>
          <w:b/>
        </w:rPr>
        <w:t>SUBSTITUTE HOUSE BILL 2457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Cody, Kloba, Robinson, Schmick, Tharinger, Macri, Pollet, and Wylie)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board for the evaluation and containment of health care expenditures;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w:t>
      </w:r>
    </w:p>
    <w:p>
      <w:pPr>
        <w:spacing w:before="0" w:after="0" w:line="408" w:lineRule="exact"/>
        <w:ind w:left="0" w:right="0" w:firstLine="576"/>
        <w:jc w:val="left"/>
      </w:pPr>
      <w:r>
        <w:rPr/>
        <w:t xml:space="preserve">(p) Geriatric; or</w:t>
      </w:r>
    </w:p>
    <w:p>
      <w:pPr>
        <w:spacing w:before="0" w:after="0" w:line="408" w:lineRule="exact"/>
        <w:ind w:left="0" w:right="0" w:firstLine="576"/>
        <w:jc w:val="left"/>
      </w:pPr>
      <w:r>
        <w:rPr/>
        <w:t xml:space="preserve">(q) Long-term care.</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coverage" means policies, contracts, certificates, and agreements issued or offered by a payer.</w:t>
      </w:r>
    </w:p>
    <w:p>
      <w:pPr>
        <w:spacing w:before="0" w:after="0" w:line="408" w:lineRule="exact"/>
        <w:ind w:left="0" w:right="0" w:firstLine="576"/>
        <w:jc w:val="left"/>
      </w:pPr>
      <w:r>
        <w:rPr/>
        <w:t xml:space="preserve">(7)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(8) "Net cost of private health care coverage" means the difference in premiums received by a payer and the claims for the cost of health care paid by the payer under a policy or certificate of health care coverage.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thirteen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secretary of labor and industries, or the secretary's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and</w:t>
      </w:r>
    </w:p>
    <w:p>
      <w:pPr>
        <w:spacing w:before="0" w:after="0" w:line="408" w:lineRule="exact"/>
        <w:ind w:left="0" w:right="0" w:firstLine="576"/>
        <w:jc w:val="left"/>
      </w:pPr>
      <w:r>
        <w:rPr/>
        <w:t xml:space="preserve">(k) One member who is an expert in health care financing.</w:t>
      </w:r>
    </w:p>
    <w:p>
      <w:pPr>
        <w:spacing w:before="0" w:after="0" w:line="408" w:lineRule="exact"/>
        <w:ind w:left="0" w:right="0" w:firstLine="576"/>
        <w:jc w:val="left"/>
      </w:pPr>
      <w:r>
        <w:rPr/>
        <w:t xml:space="preserve">(2) The governor shall appoint the members of the board. For the members of the board identified in subsection (1)(f) through (k) of this section, each of the two largest caucuses of each chamber of the legislature shall submit one nominee for each of the eight positions. The nominees may not be legislators and, except for the members of the board identified in subsection (1)(j) and (k) of this section, the nominees may not be employees of the state or its political subdivisions. No caucus may submit the same nominee. The governor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No member of the board may be appointed if the member's participation in the decisions of the board could benefit the member's own financial interests or the financial interests of an entity the member represents. A board member who develops such a conflict of interest shall resign or be removed from the board.</w:t>
      </w:r>
    </w:p>
    <w:p>
      <w:pPr>
        <w:spacing w:before="0" w:after="0" w:line="408" w:lineRule="exact"/>
        <w:ind w:left="0" w:right="0" w:firstLine="576"/>
        <w:jc w:val="left"/>
      </w:pPr>
      <w:r>
        <w:rPr/>
        <w:t xml:space="preserve">(6)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(7)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 </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healthcare plans; and</w:t>
      </w:r>
    </w:p>
    <w:p>
      <w:pPr>
        <w:spacing w:before="0" w:after="0" w:line="408" w:lineRule="exact"/>
        <w:ind w:left="0" w:right="0" w:firstLine="576"/>
        <w:jc w:val="left"/>
      </w:pPr>
      <w:r>
        <w:rPr/>
        <w:t xml:space="preserve">(l)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 and</w:t>
      </w:r>
    </w:p>
    <w:p>
      <w:pPr>
        <w:spacing w:before="0" w:after="0" w:line="408" w:lineRule="exact"/>
        <w:ind w:left="0" w:right="0" w:firstLine="576"/>
        <w:jc w:val="left"/>
      </w:pPr>
      <w:r>
        <w:rPr/>
        <w:t xml:space="preserve">(e)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87c23c290194e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65cd74ec94d7d" /><Relationship Type="http://schemas.openxmlformats.org/officeDocument/2006/relationships/footer" Target="/word/footer1.xml" Id="Re87c23c290194e3e" /></Relationships>
</file>