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6a1cb2b5ea430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2461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Entenman, Fitzgibbon, Lovick, Ortiz-Self, Stonier, Cody, Shewmake, Ramos, Valdez, Mead, Kloba, Thai, Robinson, Santos, Macri, Pollet, Wylie, and Doglio</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health in the state transportation system policy goals; amending RCW 47.04.280;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there is a connection between transportation systems and individual's health; transportation systems can impact health in both positive and negative ways. Consideration of health implications in transportation policy has the potential to support health equity by preventing chronic diseases and improving traffic safety and air quality, all of which can drive savings in health care costs.</w:t>
      </w:r>
    </w:p>
    <w:p>
      <w:pPr>
        <w:spacing w:before="0" w:after="0" w:line="408" w:lineRule="exact"/>
        <w:ind w:left="0" w:right="0" w:firstLine="576"/>
        <w:jc w:val="left"/>
      </w:pPr>
      <w:r>
        <w:rPr/>
        <w:t xml:space="preserve">The rate of obesity in Washington remains a concern. Almost twenty-nine percent of adults and twelve percent of our tenth graders are obese, with significantly higher rates in populations with lower income and lower education. Access to regular physical activity has been declining in our social and physical environments. People who are active are more likely to maintain a healthy weight and less likely to develop chronic diseases. In addition, we know that exposure to unhealthy air quality is linked to premature mortality, cardiac symptoms, exacerbation of asthma symptoms, diminished lung function, and increased hospitalization.</w:t>
      </w:r>
    </w:p>
    <w:p>
      <w:pPr>
        <w:spacing w:before="0" w:after="0" w:line="408" w:lineRule="exact"/>
        <w:ind w:left="0" w:right="0" w:firstLine="576"/>
        <w:jc w:val="left"/>
      </w:pPr>
      <w:r>
        <w:rPr/>
        <w:t xml:space="preserve">Washington is committed to routinely consider the health implications of transportation planning and community design.</w:t>
      </w:r>
    </w:p>
    <w:p>
      <w:pPr>
        <w:spacing w:before="0" w:after="0" w:line="408" w:lineRule="exact"/>
        <w:ind w:left="0" w:right="0" w:firstLine="576"/>
        <w:jc w:val="left"/>
      </w:pPr>
      <w:r>
        <w:rPr/>
        <w:t xml:space="preserve">Therefore, it is the intent of the legislature that this act serves to expand the existing goals, objectives, and responsibilities related to the operation of a statewide transportation system to include the health of people living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w:t>
      </w:r>
      <w:r>
        <w:t>((</w:t>
      </w:r>
      <w:r>
        <w:rPr>
          <w:strike/>
        </w:rPr>
        <w:t xml:space="preserve">and</w:t>
      </w:r>
      <w:r>
        <w:t>))</w:t>
      </w:r>
    </w:p>
    <w:p>
      <w:pPr>
        <w:spacing w:before="0" w:after="0" w:line="408" w:lineRule="exact"/>
        <w:ind w:left="0" w:right="0" w:firstLine="576"/>
        <w:jc w:val="left"/>
      </w:pPr>
      <w:r>
        <w:rPr/>
        <w:t xml:space="preserve">(f) Stewardship: To continuously improve the quality, effectiveness, and efficiency of the transportation system</w:t>
      </w:r>
      <w:r>
        <w:rPr>
          <w:u w:val="single"/>
        </w:rPr>
        <w:t xml:space="preserve">; and</w:t>
      </w:r>
    </w:p>
    <w:p>
      <w:pPr>
        <w:spacing w:before="0" w:after="0" w:line="408" w:lineRule="exact"/>
        <w:ind w:left="0" w:right="0" w:firstLine="576"/>
        <w:jc w:val="left"/>
      </w:pPr>
      <w:r>
        <w:rPr>
          <w:u w:val="single"/>
        </w:rPr>
        <w:t xml:space="preserve">(g) Health: To improve the health of Washington's residents, by considering health implications and encouraging active transportation when designing, building, and maintaining Washington's transportation system</w:t>
      </w:r>
      <w:r>
        <w:rPr/>
        <w:t xml:space="preserve">.</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in consultation with the transportation commission, establish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
      <w:pPr>
        <w:jc w:val="center"/>
      </w:pPr>
      <w:r>
        <w:rPr>
          <w:b/>
        </w:rPr>
        <w:t>--- END ---</w:t>
      </w:r>
    </w:p>
    <w:sectPr>
      <w:pgNumType w:start="1"/>
      <w:footerReference xmlns:r="http://schemas.openxmlformats.org/officeDocument/2006/relationships" r:id="Rc24097af39444e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bd521182a14207" /><Relationship Type="http://schemas.openxmlformats.org/officeDocument/2006/relationships/footer" Target="/word/footer1.xml" Id="Rc24097af39444eea" /></Relationships>
</file>