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6ea6e44be499c" /></Relationships>
</file>

<file path=word/document.xml><?xml version="1.0" encoding="utf-8"?>
<w:document xmlns:w="http://schemas.openxmlformats.org/wordprocessingml/2006/main">
  <w:body>
    <w:p>
      <w:r>
        <w:t>H-4186.2</w:t>
      </w:r>
    </w:p>
    <w:p>
      <w:pPr>
        <w:jc w:val="center"/>
      </w:pPr>
      <w:r>
        <w:t>_______________________________________________</w:t>
      </w:r>
    </w:p>
    <w:p/>
    <w:p>
      <w:pPr>
        <w:jc w:val="center"/>
      </w:pPr>
      <w:r>
        <w:rPr>
          <w:b/>
        </w:rPr>
        <w:t>SUBSTITUTE HOUSE BILL 2467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Hansen, Irwin, Griffey, Barkis, and Wylie)</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9.41.010(8);</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section 3 of this act.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background check advisory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One sheriff;</w:t>
      </w:r>
    </w:p>
    <w:p>
      <w:pPr>
        <w:spacing w:before="0" w:after="0" w:line="408" w:lineRule="exact"/>
        <w:ind w:left="0" w:right="0" w:firstLine="576"/>
        <w:jc w:val="left"/>
      </w:pPr>
      <w:r>
        <w:rPr/>
        <w:t xml:space="preserve">(d) One police chief;</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w:t>
      </w:r>
    </w:p>
    <w:p>
      <w:pPr>
        <w:spacing w:before="0" w:after="0" w:line="408" w:lineRule="exact"/>
        <w:ind w:left="0" w:right="0" w:firstLine="576"/>
        <w:jc w:val="left"/>
      </w:pPr>
      <w:r>
        <w:rPr/>
        <w:t xml:space="preserve">(f) One representative of an organization known to actively advocate in this state on behalf of firearms rights;</w:t>
      </w:r>
    </w:p>
    <w:p>
      <w:pPr>
        <w:spacing w:before="0" w:after="0" w:line="408" w:lineRule="exact"/>
        <w:ind w:left="0" w:right="0" w:firstLine="576"/>
        <w:jc w:val="left"/>
      </w:pPr>
      <w:r>
        <w:rPr/>
        <w:t xml:space="preserve">(g) One representative of an organization known to actively advocate in this state on behalf of greater firearm regulation; and</w:t>
      </w:r>
    </w:p>
    <w:p>
      <w:pPr>
        <w:spacing w:before="0" w:after="0" w:line="408" w:lineRule="exact"/>
        <w:ind w:left="0" w:right="0" w:firstLine="576"/>
        <w:jc w:val="left"/>
      </w:pPr>
      <w:r>
        <w:rPr/>
        <w:t xml:space="preserve">(h)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monthly until such time that the Washington state patrol deems the firearms background check unit is operational. After the Washington state patrol deems the firearms background check unit is operational, the board shall meet quarterly, unless the board has no business to conduct during that quarter.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Provide input and feedback regarding the establishment and operation of the firearms background check unit established in section 1 of this act;</w:t>
      </w:r>
    </w:p>
    <w:p>
      <w:pPr>
        <w:spacing w:before="0" w:after="0" w:line="408" w:lineRule="exact"/>
        <w:ind w:left="0" w:right="0" w:firstLine="576"/>
        <w:jc w:val="left"/>
      </w:pPr>
      <w:r>
        <w:rPr/>
        <w:t xml:space="preserve">(b) Be actively involved in the preparation of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(c) Be consulted with prior to the proposal of any rule relating to the firearms background check unit and prior to the adoption of any rule relating to the firearms background check unit;</w:t>
      </w:r>
    </w:p>
    <w:p>
      <w:pPr>
        <w:spacing w:before="0" w:after="0" w:line="408" w:lineRule="exact"/>
        <w:ind w:left="0" w:right="0" w:firstLine="576"/>
        <w:jc w:val="left"/>
      </w:pPr>
      <w:r>
        <w:rPr/>
        <w:t xml:space="preserve">(d) Require reports from the chief of the Washington state patrol on matters pertaining to the firearms background check unit; and</w:t>
      </w:r>
    </w:p>
    <w:p>
      <w:pPr>
        <w:spacing w:before="0" w:after="0" w:line="408" w:lineRule="exact"/>
        <w:ind w:left="0" w:right="0" w:firstLine="576"/>
        <w:jc w:val="left"/>
      </w:pPr>
      <w:r>
        <w:rPr/>
        <w:t xml:space="preserve">(e)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background check advisory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w:t>
      </w:r>
      <w:r>
        <w:t>((</w:t>
      </w:r>
      <w:r>
        <w:rPr>
          <w:strike/>
        </w:rPr>
        <w:t xml:space="preserve">receipt of documentation that a person has appealed</w:t>
      </w:r>
      <w:r>
        <w:t>))</w:t>
      </w:r>
      <w:r>
        <w:rPr/>
        <w:t xml:space="preserve"> </w:t>
      </w:r>
      <w:r>
        <w:rPr>
          <w:u w:val="single"/>
        </w:rPr>
        <w:t xml:space="preserve">appeal of</w:t>
      </w:r>
      <w:r>
        <w:rPr/>
        <w:t xml:space="preserve">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w:t>
      </w:r>
      <w:r>
        <w:t>((</w:t>
      </w:r>
      <w:r>
        <w:rPr>
          <w:strike/>
        </w:rPr>
        <w:t xml:space="preserve">national instant criminal</w:t>
      </w:r>
      <w:r>
        <w:t>))</w:t>
      </w:r>
      <w:r>
        <w:rPr/>
        <w:t xml:space="preserve"> background check system denial </w:t>
      </w:r>
      <w:r>
        <w:t>((</w:t>
      </w:r>
      <w:r>
        <w:rPr>
          <w:strike/>
        </w:rPr>
        <w:t xml:space="preserve">through the federal bureau of investigation</w:t>
      </w:r>
      <w:r>
        <w:t>))</w:t>
      </w:r>
      <w:r>
        <w:rPr/>
        <w:t xml:space="preserve">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r>
        <w:rPr/>
        <w:t xml:space="preserve"> </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d9270427a6294d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9398edd2c4427" /><Relationship Type="http://schemas.openxmlformats.org/officeDocument/2006/relationships/footer" Target="/word/footer1.xml" Id="Rd9270427a6294d98" /></Relationships>
</file>