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d3e3cc77c4b5e" /></Relationships>
</file>

<file path=word/document.xml><?xml version="1.0" encoding="utf-8"?>
<w:document xmlns:w="http://schemas.openxmlformats.org/wordprocessingml/2006/main">
  <w:body>
    <w:p>
      <w:r>
        <w:t>H-3616.2</w:t>
      </w:r>
    </w:p>
    <w:p>
      <w:pPr>
        <w:jc w:val="center"/>
      </w:pPr>
      <w:r>
        <w:t>_______________________________________________</w:t>
      </w:r>
    </w:p>
    <w:p/>
    <w:p>
      <w:pPr>
        <w:jc w:val="center"/>
      </w:pPr>
      <w:r>
        <w:rPr>
          <w:b/>
        </w:rPr>
        <w:t>HOUSE BILL 2490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Appleton</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centers; amending RCW 84.14.010;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developers to construct new multifamily housing thereby increasing the number of affordable housing units for low to moderate-income residents in certain urban growth areas.</w:t>
      </w:r>
    </w:p>
    <w:p>
      <w:pPr>
        <w:spacing w:before="0" w:after="0" w:line="408" w:lineRule="exact"/>
        <w:ind w:left="0" w:right="0" w:firstLine="576"/>
        <w:jc w:val="left"/>
      </w:pPr>
      <w:r>
        <w:rPr/>
        <w:t xml:space="preserve">(4) The legislature intends to extend the expiration date of the tax preference in this act, if a review finds that at least twenty percent of the new housing is developed and occupied by households earning:</w:t>
      </w:r>
    </w:p>
    <w:p>
      <w:pPr>
        <w:spacing w:before="0" w:after="0" w:line="408" w:lineRule="exact"/>
        <w:ind w:left="0" w:right="0" w:firstLine="576"/>
        <w:jc w:val="left"/>
      </w:pPr>
      <w:r>
        <w:rPr/>
        <w:t xml:space="preserve">(a) At or below eighty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(b) When the housing is intended exclusively for owner occupancy, up to one hundred fifteen percent of the area median income, at the time of sale, adjusted for family size for the county in which the project is located.</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cities or towns in which persons are utilizing this tax preference,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p>
    <w:p>
      <w:pPr>
        <w:spacing w:before="0" w:after="0" w:line="408" w:lineRule="exact"/>
        <w:ind w:left="0" w:right="0" w:firstLine="576"/>
        <w:jc w:val="left"/>
      </w:pPr>
      <w:r>
        <w:rPr/>
        <w:t xml:space="preserve">(4) </w:t>
      </w:r>
      <w:r>
        <w:t>((</w:t>
      </w:r>
      <w:r>
        <w:rPr>
          <w:strike/>
        </w:rPr>
        <w:t xml:space="preserve">"County"</w:t>
      </w:r>
      <w:r>
        <w:t>))</w:t>
      </w:r>
      <w:r>
        <w:rPr/>
        <w:t xml:space="preserve"> </w:t>
      </w:r>
      <w:r>
        <w:rPr>
          <w:u w:val="single"/>
        </w:rPr>
        <w:t xml:space="preserve">(a) Except as provided in (b) of this subsection, "county"</w:t>
      </w:r>
      <w:r>
        <w:rPr/>
        <w:t xml:space="preserve"> means a county with an unincorporated population of at least three hundred fifty thousand.</w:t>
      </w:r>
    </w:p>
    <w:p>
      <w:pPr>
        <w:spacing w:before="0" w:after="0" w:line="408" w:lineRule="exact"/>
        <w:ind w:left="0" w:right="0" w:firstLine="576"/>
        <w:jc w:val="left"/>
      </w:pPr>
      <w:r>
        <w:rPr>
          <w:u w:val="single"/>
        </w:rPr>
        <w:t xml:space="preserve">(b) From July 1, 2020, through July 1, 2030, "county" means a county with an unincorporated population of at least one hundred seventy thousand. The definition in this subsection (4)(b) applies to applications submitted under this chapter on or before July 1, 2030.</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
      <w:pPr>
        <w:jc w:val="center"/>
      </w:pPr>
      <w:r>
        <w:rPr>
          <w:b/>
        </w:rPr>
        <w:t>--- END ---</w:t>
      </w:r>
    </w:p>
    <w:sectPr>
      <w:pgNumType w:start="1"/>
      <w:footerReference xmlns:r="http://schemas.openxmlformats.org/officeDocument/2006/relationships" r:id="R9a865960711f40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aa01b5ffc54256" /><Relationship Type="http://schemas.openxmlformats.org/officeDocument/2006/relationships/footer" Target="/word/footer1.xml" Id="R9a865960711f40c8" /></Relationships>
</file>