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83a7abd104481" /></Relationships>
</file>

<file path=word/document.xml><?xml version="1.0" encoding="utf-8"?>
<w:document xmlns:w="http://schemas.openxmlformats.org/wordprocessingml/2006/main">
  <w:body>
    <w:p>
      <w:r>
        <w:t>H-4836.1</w:t>
      </w:r>
    </w:p>
    <w:p>
      <w:pPr>
        <w:jc w:val="center"/>
      </w:pPr>
      <w:r>
        <w:t>_______________________________________________</w:t>
      </w:r>
    </w:p>
    <w:p/>
    <w:p>
      <w:pPr>
        <w:jc w:val="center"/>
      </w:pPr>
      <w:r>
        <w:rPr>
          <w:b/>
        </w:rPr>
        <w:t>SECOND SUBSTITUTE HOUSE BILL 2511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Stonier, Sells, Gregerson, Ormsby, Chapman, Valdez, Chopp, Bergquist, Davis, Doglio, Frame, Ramel, Pollet, Macri, Goodman, Riccelli, and Robinson; by request of Attorney General and Office of the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labor protections for domestic workers; amending RCW 49.60.040;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there is increasing demand for domestic service professions and domestic workers are often isolated and vulnerable to exploitation, it is a priority for the legislature to provide workers with clear rights and freedom from harassment and protection from retaliation; and to make clear for hiring entities which actions are prohibited in a domestic service employment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t xml:space="preserve">(2) "Discrimination" means employment discrimination prohibited by chapter 49.60 RCW, including discriminatory harassment.</w:t>
      </w:r>
    </w:p>
    <w:p>
      <w:pPr>
        <w:spacing w:before="0" w:after="0" w:line="408" w:lineRule="exact"/>
        <w:ind w:left="0" w:right="0" w:firstLine="576"/>
        <w:jc w:val="left"/>
      </w:pPr>
      <w:r>
        <w:rPr/>
        <w:t xml:space="preserve">(3) "Discriminatory harassment" is unwelcome conduct that is based on a protected class listed in RCW 49.60.030(1) where the conduct is severe or pervasive enough to create a work environment that a reasonable person would consider intimidating, hostile, or abusive. "Discriminatory harassment" includes sexual harassment.</w:t>
      </w:r>
    </w:p>
    <w:p>
      <w:pPr>
        <w:spacing w:before="0" w:after="0" w:line="408" w:lineRule="exact"/>
        <w:ind w:left="0" w:right="0" w:firstLine="576"/>
        <w:jc w:val="left"/>
      </w:pPr>
      <w:r>
        <w:rPr/>
        <w:t xml:space="preserve">(4)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t xml:space="preserve">(5)(a) "Domestic worker" includes hourly and salaried employees who are paid wages for their services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Persons who provide services or supports for a family member on a casual labor basis;</w:t>
      </w:r>
    </w:p>
    <w:p>
      <w:pPr>
        <w:spacing w:before="0" w:after="0" w:line="408" w:lineRule="exact"/>
        <w:ind w:left="0" w:right="0" w:firstLine="576"/>
        <w:jc w:val="left"/>
      </w:pPr>
      <w:r>
        <w:rPr/>
        <w:t xml:space="preserve">(iii)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(iv) Individual providers, as defined in RCW 74.39A.240; </w:t>
      </w:r>
    </w:p>
    <w:p>
      <w:pPr>
        <w:spacing w:before="0" w:after="0" w:line="408" w:lineRule="exact"/>
        <w:ind w:left="0" w:right="0" w:firstLine="576"/>
        <w:jc w:val="left"/>
      </w:pPr>
      <w:r>
        <w:rPr/>
        <w:t xml:space="preserve">(v) An au pair participant who has been granted a J-1 visa for participation in the federal department of state designated exchange visitor program governed by 22 C.F.R. section 62.31;</w:t>
      </w:r>
    </w:p>
    <w:p>
      <w:pPr>
        <w:spacing w:before="0" w:after="0" w:line="408" w:lineRule="exact"/>
        <w:ind w:left="0" w:right="0" w:firstLine="576"/>
        <w:jc w:val="left"/>
      </w:pPr>
      <w:r>
        <w:rPr/>
        <w:t xml:space="preserve">(vi) Persons who perform house sitting, pet sitting, and dog walking duties that do not involve domestic service;</w:t>
      </w:r>
    </w:p>
    <w:p>
      <w:pPr>
        <w:spacing w:before="0" w:after="0" w:line="408" w:lineRule="exact"/>
        <w:ind w:left="0" w:right="0" w:firstLine="576"/>
        <w:jc w:val="left"/>
      </w:pPr>
      <w:r>
        <w:rPr/>
        <w:t xml:space="preserve">(vii) Persons providing services to another family member who is sick, convalescing, elderly, or a person with a disability, where the family members do not intend to establish an employer-employee relationship. An employer-employee relationship does not exist under such circumstances when:</w:t>
      </w:r>
    </w:p>
    <w:p>
      <w:pPr>
        <w:spacing w:before="0" w:after="0" w:line="408" w:lineRule="exact"/>
        <w:ind w:left="0" w:right="0" w:firstLine="576"/>
        <w:jc w:val="left"/>
      </w:pPr>
      <w:r>
        <w:rPr/>
        <w:t xml:space="preserve">(A) The family members have mutually agreed that care is provided gratuitously; or</w:t>
      </w:r>
    </w:p>
    <w:p>
      <w:pPr>
        <w:spacing w:before="0" w:after="0" w:line="408" w:lineRule="exact"/>
        <w:ind w:left="0" w:right="0" w:firstLine="576"/>
        <w:jc w:val="left"/>
      </w:pPr>
      <w:r>
        <w:rPr/>
        <w:t xml:space="preserve">(B) The family member provides services for fewer than fifteen hours per week and the family member providing care does not provide domestic services in the person's ordinary course of business.</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 or any individual related by blood or affinity whose close association with the individual is the equivalent of a family relationship.</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hiring entity that employs a domestic worker may not:</w:t>
      </w:r>
    </w:p>
    <w:p>
      <w:pPr>
        <w:spacing w:before="0" w:after="0" w:line="408" w:lineRule="exact"/>
        <w:ind w:left="0" w:right="0" w:firstLine="576"/>
        <w:jc w:val="left"/>
      </w:pPr>
      <w:r>
        <w:rPr/>
        <w:t xml:space="preserve">(a)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(b) Engage in any form of discrimination or discriminatory harassment as defined in section 2 (2) and (3) of this act;</w:t>
      </w:r>
    </w:p>
    <w:p>
      <w:pPr>
        <w:spacing w:before="0" w:after="0" w:line="408" w:lineRule="exact"/>
        <w:ind w:left="0" w:right="0" w:firstLine="576"/>
        <w:jc w:val="left"/>
      </w:pPr>
      <w:r>
        <w:rPr/>
        <w:t xml:space="preserve">(c) Terminate a domestic worker, retaliate against a domestic worker, reduce the pay of a domestic worker, or refuse to offer future assignments to a domestic worker for requesting reassignment due to any alleged discrimination or abusive behavior that falls under the requirements in (b) of this subsection;</w:t>
      </w:r>
    </w:p>
    <w:p>
      <w:pPr>
        <w:spacing w:before="0" w:after="0" w:line="408" w:lineRule="exact"/>
        <w:ind w:left="0" w:right="0" w:firstLine="576"/>
        <w:jc w:val="left"/>
      </w:pPr>
      <w:r>
        <w:rPr/>
        <w:t xml:space="preserve">(d) Subject a domestic worker to conduct with the purpose or effect of unreasonable interfering with the domestic worker's work performance by creating an intimidating, hostile, or offensive work environment;</w:t>
      </w:r>
    </w:p>
    <w:p>
      <w:pPr>
        <w:spacing w:before="0" w:after="0" w:line="408" w:lineRule="exact"/>
        <w:ind w:left="0" w:right="0" w:firstLine="576"/>
        <w:jc w:val="left"/>
      </w:pPr>
      <w:r>
        <w:rPr/>
        <w:t xml:space="preserve">(e)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(f) Monitor, record, or interfere with the private communications of a domestic worker;</w:t>
      </w:r>
    </w:p>
    <w:p>
      <w:pPr>
        <w:spacing w:before="0" w:after="0" w:line="408" w:lineRule="exact"/>
        <w:ind w:left="0" w:right="0" w:firstLine="576"/>
        <w:jc w:val="left"/>
      </w:pPr>
      <w:r>
        <w:rPr/>
        <w:t xml:space="preserve">(g)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(h) Take any adverse action against a domestic worker because the domestic worker has exercised their rights provided under this chapter. Such rights include, but are not limited to: Filing an action, organizing or communicating amongst themselves, participating in political speech, disclosing their immigration status, or instituting or causing to be instituted any proceeding under or related to this chapter.</w:t>
      </w:r>
    </w:p>
    <w:p>
      <w:pPr>
        <w:spacing w:before="0" w:after="0" w:line="408" w:lineRule="exact"/>
        <w:ind w:left="0" w:right="0" w:firstLine="576"/>
        <w:jc w:val="left"/>
      </w:pPr>
      <w:r>
        <w:rPr/>
        <w:t xml:space="preserve">(2) A domestic worker who files a complaint or brings suit alleging discrimination in violation of RCW 49.60.180 shall be entitled to all the procedural and substantive rights available under chapter 49.60 RCW except when:</w:t>
      </w:r>
    </w:p>
    <w:p>
      <w:pPr>
        <w:spacing w:before="0" w:after="0" w:line="408" w:lineRule="exact"/>
        <w:ind w:left="0" w:right="0" w:firstLine="576"/>
        <w:jc w:val="left"/>
      </w:pPr>
      <w:r>
        <w:rPr/>
        <w:t xml:space="preserve">(a) The hiring entity is a person who is elderly or has a disability that results in discriminatory or harassing behaviors; and</w:t>
      </w:r>
    </w:p>
    <w:p>
      <w:pPr>
        <w:spacing w:before="0" w:after="0" w:line="408" w:lineRule="exact"/>
        <w:ind w:left="0" w:right="0" w:firstLine="576"/>
        <w:jc w:val="left"/>
      </w:pPr>
      <w:r>
        <w:rPr/>
        <w:t xml:space="preserve">(b) A hiring entity informs a domestic worker, providing home care or personal care services to a person who has a documented behavioral condition, that the hiring entity has reason to believe that those behaviors will result in discrimination and abusive conduct likely occurring in or around the client's home prior to assigning the employee to that client and throughout the duration of service; and</w:t>
      </w:r>
    </w:p>
    <w:p>
      <w:pPr>
        <w:spacing w:before="0" w:after="0" w:line="408" w:lineRule="exact"/>
        <w:ind w:left="0" w:right="0" w:firstLine="576"/>
        <w:jc w:val="left"/>
      </w:pPr>
      <w:r>
        <w:rPr/>
        <w:t xml:space="preserve">(c) The behaviors can be shown as directly resulting from a diagnosed and documented cognitive impairment; and</w:t>
      </w:r>
    </w:p>
    <w:p>
      <w:pPr>
        <w:spacing w:before="0" w:after="0" w:line="408" w:lineRule="exact"/>
        <w:ind w:left="0" w:right="0" w:firstLine="576"/>
        <w:jc w:val="left"/>
      </w:pPr>
      <w:r>
        <w:rPr/>
        <w:t xml:space="preserve">(d) The domestic worker voluntarily agrees to initiate or continue the employment relationship; or</w:t>
      </w:r>
    </w:p>
    <w:p>
      <w:pPr>
        <w:spacing w:before="0" w:after="0" w:line="408" w:lineRule="exact"/>
        <w:ind w:left="0" w:right="0" w:firstLine="576"/>
        <w:jc w:val="left"/>
      </w:pPr>
      <w:r>
        <w:rPr/>
        <w:t xml:space="preserve">(e) A hiring entity receiving personal care services, as defined in RCW 74.39A.009, refuses to hire an employee based on gender preferences.</w:t>
      </w:r>
    </w:p>
    <w:p>
      <w:pPr>
        <w:spacing w:before="0" w:after="0" w:line="408" w:lineRule="exact"/>
        <w:ind w:left="0" w:right="0" w:firstLine="576"/>
        <w:jc w:val="left"/>
      </w:pPr>
      <w:r>
        <w:rPr/>
        <w:t xml:space="preserve">(3) Except where subsection (2)(b), (c), and (d) of this section apply, there must be a disclosure of information about the behavioral health needs of the individual being cared for, as well as tools and supports available to the domestic worker, including but not limited to any applicable behavior management plan. The disclosure should be reviewed regularly and must be updated when any changes in behavior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fines and penalties for violations. Any state agency that does not contract with or employ domestic workers in the ordinary course of business shall not be subject to liability unless that state agency directly interferes with the rights established for domestic workers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hiring entity to interfere with, restrain, or deny the exercise of any right provided under or in connection with this chapter. This means a hiring entity may not use a domestic worker's exercise of any of the rights provided in this chapter as a negative factor in any employment action such as evaluation, promotion, or termination, or otherwise subject a domestic worker to discipline for the exercise of any rights provided under this chapter.</w:t>
      </w:r>
    </w:p>
    <w:p>
      <w:pPr>
        <w:spacing w:before="0" w:after="0" w:line="408" w:lineRule="exact"/>
        <w:ind w:left="0" w:right="0" w:firstLine="576"/>
        <w:jc w:val="left"/>
      </w:pPr>
      <w:r>
        <w:rPr/>
        <w:t xml:space="preserve">(2) No hiring entity or any other person shall communicate to a person exercising rights protected under this chapter, directly or indirectly, the willingness or intent to inform a government employee or contracted organization of suspected citizenship or immigration status of a domestic worker or a family member to a federal, state, or local agency because the domestic worker has exercised a right under this chapter.</w:t>
      </w:r>
    </w:p>
    <w:p>
      <w:pPr>
        <w:spacing w:before="0" w:after="0" w:line="408" w:lineRule="exact"/>
        <w:ind w:left="0" w:right="0" w:firstLine="576"/>
        <w:jc w:val="left"/>
      </w:pPr>
      <w:r>
        <w:rPr/>
        <w:t xml:space="preserve">(3) It is unlawful for a hiring entity to take any adverse action against a domestic worker because the domestic worker has exercised their rights provided under this chapter. Such rights include, but are not limited to: Filing a complaint, disclosing their immigration status, or instituting or causing to be instituted any proceeding under or related to this chapter.</w:t>
      </w:r>
    </w:p>
    <w:p>
      <w:pPr>
        <w:spacing w:before="0" w:after="0" w:line="408" w:lineRule="exact"/>
        <w:ind w:left="0" w:right="0" w:firstLine="576"/>
        <w:jc w:val="left"/>
      </w:pPr>
      <w:r>
        <w:rPr/>
        <w:t xml:space="preserve">(4) Adverse action means any action taken or threatened by a hiring entity against a domestic worker for their exercise of rights under this chapter, which may include, but is not limited to:</w:t>
      </w:r>
    </w:p>
    <w:p>
      <w:pPr>
        <w:spacing w:before="0" w:after="0" w:line="408" w:lineRule="exact"/>
        <w:ind w:left="0" w:right="0" w:firstLine="576"/>
        <w:jc w:val="left"/>
      </w:pPr>
      <w:r>
        <w:rPr/>
        <w:t xml:space="preserve">(a) Denying the use of any rights provided under this chapter;</w:t>
      </w:r>
    </w:p>
    <w:p>
      <w:pPr>
        <w:spacing w:before="0" w:after="0" w:line="408" w:lineRule="exact"/>
        <w:ind w:left="0" w:right="0" w:firstLine="576"/>
        <w:jc w:val="left"/>
      </w:pPr>
      <w:r>
        <w:rPr/>
        <w:t xml:space="preserve">(b) Denying or delaying payment due under this chapter;</w:t>
      </w:r>
    </w:p>
    <w:p>
      <w:pPr>
        <w:spacing w:before="0" w:after="0" w:line="408" w:lineRule="exact"/>
        <w:ind w:left="0" w:right="0" w:firstLine="576"/>
        <w:jc w:val="left"/>
      </w:pPr>
      <w:r>
        <w:rPr/>
        <w:t xml:space="preserve">(c) Terminating, suspending, demoting, or denying a promotion;</w:t>
      </w:r>
    </w:p>
    <w:p>
      <w:pPr>
        <w:spacing w:before="0" w:after="0" w:line="408" w:lineRule="exact"/>
        <w:ind w:left="0" w:right="0" w:firstLine="576"/>
        <w:jc w:val="left"/>
      </w:pPr>
      <w:r>
        <w:rPr/>
        <w:t xml:space="preserve">(d) Reducing the number of work hours for which the domestic worker is scheduled;</w:t>
      </w:r>
    </w:p>
    <w:p>
      <w:pPr>
        <w:spacing w:before="0" w:after="0" w:line="408" w:lineRule="exact"/>
        <w:ind w:left="0" w:right="0" w:firstLine="576"/>
        <w:jc w:val="left"/>
      </w:pPr>
      <w:r>
        <w:rPr/>
        <w:t xml:space="preserve">(e) Altering the domestic worker's preexisting work schedule;</w:t>
      </w:r>
    </w:p>
    <w:p>
      <w:pPr>
        <w:spacing w:before="0" w:after="0" w:line="408" w:lineRule="exact"/>
        <w:ind w:left="0" w:right="0" w:firstLine="576"/>
        <w:jc w:val="left"/>
      </w:pPr>
      <w:r>
        <w:rPr/>
        <w:t xml:space="preserve">(f) Reducing the domestic worker's rate of pay; and</w:t>
      </w:r>
    </w:p>
    <w:p>
      <w:pPr>
        <w:spacing w:before="0" w:after="0" w:line="408" w:lineRule="exact"/>
        <w:ind w:left="0" w:right="0" w:firstLine="576"/>
        <w:jc w:val="left"/>
      </w:pPr>
      <w:r>
        <w:rPr/>
        <w:t xml:space="preserve">(g) Threatening to take, or taking action, based upon the immigration status of a domestic worker or a domestic worker's family member.</w:t>
      </w:r>
    </w:p>
    <w:p>
      <w:pPr>
        <w:spacing w:before="0" w:after="0" w:line="408" w:lineRule="exact"/>
        <w:ind w:left="0" w:right="0" w:firstLine="576"/>
        <w:jc w:val="left"/>
      </w:pPr>
      <w:r>
        <w:rPr/>
        <w:t xml:space="preserve">(5) It shall be considered a rebuttable presumption of retaliation if the employer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employer fails to rehire a former domestic worker at the next opportunity for work in the same position. The employer may rebut the presumption with clear and convincing evidence that the adverse action was taken for a permissible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related to a domestic worker's rights under this chapter, in at least eight of the most commonly spoken languages in Washington state. The disclosure statement must include notice about any state law, rule, or regulation applicable to domestic workers and indicate that federal or local ordinances, laws, rules, or regulations may also apply. The model disclosure must also include a telephone number and an address of the department of labor and industries to enable domestic workers to obtain more information about their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employment agreement, which describes actions that are prohibited by a hiring entity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deems themselves injured by a violation of this act has the right to bring forward any civil action, in a court of competent jurisdiction, for any violation of rights pursuant to this act. This means any legal action necessary to collect such claim, and the hiring entity shall be required to pay the costs and such reasonable attorneys' fees as may be allowed by the court.</w:t>
      </w:r>
    </w:p>
    <w:p>
      <w:pPr>
        <w:spacing w:before="0" w:after="0" w:line="408" w:lineRule="exact"/>
        <w:ind w:left="0" w:right="0" w:firstLine="576"/>
        <w:jc w:val="left"/>
      </w:pPr>
      <w:r>
        <w:rPr/>
        <w:t xml:space="preserve">(2) Any agreement between such domestic worker and the hiring entity allowing the domestic worker to receive less than what is due shall be no defense to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and accompanying subcommittees as appropriate, on domestic workers administered by the attorney general's office is formed to make recommendations on:</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Access to benefits including, but not limited to, methods to make paid sick leave under RCW 49.46.210 and state industrial insurance available to domestic workers;</w:t>
      </w:r>
    </w:p>
    <w:p>
      <w:pPr>
        <w:spacing w:before="0" w:after="0" w:line="408" w:lineRule="exact"/>
        <w:ind w:left="0" w:right="0" w:firstLine="576"/>
        <w:jc w:val="left"/>
      </w:pPr>
      <w:r>
        <w:rPr/>
        <w:t xml:space="preserve">(c) Methods to increase access to paid family and medical leave;</w:t>
      </w:r>
    </w:p>
    <w:p>
      <w:pPr>
        <w:spacing w:before="0" w:after="0" w:line="408" w:lineRule="exact"/>
        <w:ind w:left="0" w:right="0" w:firstLine="576"/>
        <w:jc w:val="left"/>
      </w:pPr>
      <w:r>
        <w:rPr/>
        <w:t xml:space="preserve">(d) Legislative, regulatory, or other changes that should be made to the way hiring entities or domestic workers engage with the state industrial insurance system;</w:t>
      </w:r>
    </w:p>
    <w:p>
      <w:pPr>
        <w:spacing w:before="0" w:after="0" w:line="408" w:lineRule="exact"/>
        <w:ind w:left="0" w:right="0" w:firstLine="576"/>
        <w:jc w:val="left"/>
      </w:pPr>
      <w:r>
        <w:rPr/>
        <w:t xml:space="preserve">(e) The possible role of intermediary nonprofit organizations that make referrals for domestic workers and provide assistance.</w:t>
      </w:r>
    </w:p>
    <w:p>
      <w:pPr>
        <w:spacing w:before="0" w:after="0" w:line="408" w:lineRule="exact"/>
        <w:ind w:left="0" w:right="0" w:firstLine="576"/>
        <w:jc w:val="left"/>
      </w:pPr>
      <w:r>
        <w:rPr/>
        <w:t xml:space="preserve">(2)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w:t>
      </w:r>
    </w:p>
    <w:p>
      <w:pPr>
        <w:spacing w:before="0" w:after="0" w:line="408" w:lineRule="exact"/>
        <w:ind w:left="0" w:right="0" w:firstLine="576"/>
        <w:jc w:val="left"/>
      </w:pPr>
      <w:r>
        <w:rPr/>
        <w:t xml:space="preserve">(b) Unions, work centers, or intermediary nonprofit organizations that assist or refer such directly impacted workers;</w:t>
      </w:r>
    </w:p>
    <w:p>
      <w:pPr>
        <w:spacing w:before="0" w:after="0" w:line="408" w:lineRule="exact"/>
        <w:ind w:left="0" w:right="0" w:firstLine="576"/>
        <w:jc w:val="left"/>
      </w:pPr>
      <w:r>
        <w:rPr/>
        <w:t xml:space="preserve">(c) Hiring entities who directly employ single domestic workers in private homes;</w:t>
      </w:r>
    </w:p>
    <w:p>
      <w:pPr>
        <w:spacing w:before="0" w:after="0" w:line="408" w:lineRule="exact"/>
        <w:ind w:left="0" w:right="0" w:firstLine="576"/>
        <w:jc w:val="left"/>
      </w:pPr>
      <w:r>
        <w:rPr/>
        <w:t xml:space="preserve">(d) An organization that educates and organizes household hiring entities;</w:t>
      </w:r>
    </w:p>
    <w:p>
      <w:pPr>
        <w:spacing w:before="0" w:after="0" w:line="408" w:lineRule="exact"/>
        <w:ind w:left="0" w:right="0" w:firstLine="576"/>
        <w:jc w:val="left"/>
      </w:pPr>
      <w:r>
        <w:rPr/>
        <w:t xml:space="preserve">(e) At least two members of the department of labor and industries with expertise in industrial insurance and wage and hour laws and rules;</w:t>
      </w:r>
    </w:p>
    <w:p>
      <w:pPr>
        <w:spacing w:before="0" w:after="0" w:line="408" w:lineRule="exact"/>
        <w:ind w:left="0" w:right="0" w:firstLine="576"/>
        <w:jc w:val="left"/>
      </w:pPr>
      <w:r>
        <w:rPr/>
        <w:t xml:space="preserve">(f) One representative from the department of social and health services;</w:t>
      </w:r>
    </w:p>
    <w:p>
      <w:pPr>
        <w:spacing w:before="0" w:after="0" w:line="408" w:lineRule="exact"/>
        <w:ind w:left="0" w:right="0" w:firstLine="576"/>
        <w:jc w:val="left"/>
      </w:pPr>
      <w:r>
        <w:rPr/>
        <w:t xml:space="preserve">(g) An organization representing the area agencies on aging;</w:t>
      </w:r>
    </w:p>
    <w:p>
      <w:pPr>
        <w:spacing w:before="0" w:after="0" w:line="408" w:lineRule="exact"/>
        <w:ind w:left="0" w:right="0" w:firstLine="576"/>
        <w:jc w:val="left"/>
      </w:pPr>
      <w:r>
        <w:rPr/>
        <w:t xml:space="preserve">(h) An organization representing retired persons;</w:t>
      </w:r>
    </w:p>
    <w:p>
      <w:pPr>
        <w:spacing w:before="0" w:after="0" w:line="408" w:lineRule="exact"/>
        <w:ind w:left="0" w:right="0" w:firstLine="576"/>
        <w:jc w:val="left"/>
      </w:pPr>
      <w:r>
        <w:rPr/>
        <w:t xml:space="preserve">(i) One representative from the governor's office; and</w:t>
      </w:r>
    </w:p>
    <w:p>
      <w:pPr>
        <w:spacing w:before="0" w:after="0" w:line="408" w:lineRule="exact"/>
        <w:ind w:left="0" w:right="0" w:firstLine="576"/>
        <w:jc w:val="left"/>
      </w:pPr>
      <w:r>
        <w:rPr/>
        <w:t xml:space="preserve">(j) One representative from the attorney general's office.</w:t>
      </w:r>
    </w:p>
    <w:p>
      <w:pPr>
        <w:spacing w:before="0" w:after="0" w:line="408" w:lineRule="exact"/>
        <w:ind w:left="0" w:right="0" w:firstLine="576"/>
        <w:jc w:val="left"/>
      </w:pPr>
      <w:r>
        <w:rPr/>
        <w:t xml:space="preserve">(3) Representatives shall be appointed by the governor by July 1, 2020.</w:t>
      </w:r>
    </w:p>
    <w:p>
      <w:pPr>
        <w:spacing w:before="0" w:after="0" w:line="408" w:lineRule="exact"/>
        <w:ind w:left="0" w:right="0" w:firstLine="576"/>
        <w:jc w:val="left"/>
      </w:pPr>
      <w:r>
        <w:rPr/>
        <w:t xml:space="preserve">(4) The work group shall report its findings and recommendations to the governor's office, attorney general's office, and appropriate committees of the legislature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directly or indirectly, who employs eight or more persons</w:t>
      </w:r>
      <w:r>
        <w:t>((</w:t>
      </w:r>
      <w:r>
        <w:rPr>
          <w:strike/>
        </w:rPr>
        <w:t xml:space="preserve">,</w:t>
      </w:r>
      <w:r>
        <w:t>))</w:t>
      </w:r>
      <w:r>
        <w:rPr/>
        <w:t xml:space="preserve"> and does not include any religious or sectarian organization not organized for private profit. </w:t>
      </w:r>
      <w:r>
        <w:rPr>
          <w:u w:val="single"/>
        </w:rPr>
        <w:t xml:space="preserve">"Employer" also includes a hiring entity who employs a domestic worker, as defined in section 2 of this act, regardless of the number of employees the hiring entity employs.</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domestic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12, and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take effect July 1, 2021.</w:t>
      </w:r>
    </w:p>
    <w:p/>
    <w:p>
      <w:pPr>
        <w:jc w:val="center"/>
      </w:pPr>
      <w:r>
        <w:rPr>
          <w:b/>
        </w:rPr>
        <w:t>--- END ---</w:t>
      </w:r>
    </w:p>
    <w:sectPr>
      <w:pgNumType w:start="1"/>
      <w:footerReference xmlns:r="http://schemas.openxmlformats.org/officeDocument/2006/relationships" r:id="R14c1e835ca5b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d0cade65443d3" /><Relationship Type="http://schemas.openxmlformats.org/officeDocument/2006/relationships/footer" Target="/word/footer1.xml" Id="R14c1e835ca5b4e89" /></Relationships>
</file>