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a78d5e6ae4cd4" /></Relationships>
</file>

<file path=word/document.xml><?xml version="1.0" encoding="utf-8"?>
<w:document xmlns:w="http://schemas.openxmlformats.org/wordprocessingml/2006/main">
  <w:body>
    <w:p>
      <w:r>
        <w:t>H-4505.2</w:t>
      </w:r>
    </w:p>
    <w:p>
      <w:pPr>
        <w:jc w:val="center"/>
      </w:pPr>
      <w:r>
        <w:t>_______________________________________________</w:t>
      </w:r>
    </w:p>
    <w:p/>
    <w:p>
      <w:pPr>
        <w:jc w:val="center"/>
      </w:pPr>
      <w:r>
        <w:rPr>
          <w:b/>
        </w:rPr>
        <w:t>SUBSTITUTE HOUSE BILL 2528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Ramos, DeBolt, Chapman, Boehnke, Blake, Fitzgibbon, Tharinger, and Santos)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contributions of the state's forest products sector as part of the state's global climate response; amending RCW 70.235.005 and 43.330.060; adding a new section to chapter 70.235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afforestation and reforestation to increase the carbon sequestration potential of trees by expanding the forestland base, reducing emissions from land conversion to nonforest uses, increasing forest resiliency to reduce the risk of carbon releases from disturbances such as wildfire, pest infestation, and disease, and applying sustainable forest management techniques to address the natural sink saturation by maintaining or enhancing forest carbon stocks and maintaining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w:t>
      </w:r>
      <w:r>
        <w:t>((</w:t>
      </w:r>
      <w:r>
        <w:rPr>
          <w:strike/>
        </w:rPr>
        <w:t xml:space="preserve">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strike/>
        </w:rPr>
        <w:t xml:space="preserve">(5)</w:t>
      </w:r>
      <w:r>
        <w:t>))</w:t>
      </w:r>
      <w:r>
        <w:rPr/>
        <w:t xml:space="preserve">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 (a) State's</w:t>
      </w:r>
      <w:r>
        <w:rPr/>
        <w:t xml:space="preserve"> hydroelectric system</w:t>
      </w:r>
      <w:r>
        <w:t>((</w:t>
      </w:r>
      <w:r>
        <w:rPr>
          <w:strike/>
        </w:rPr>
        <w:t xml:space="preserve">, the</w:t>
      </w:r>
      <w:r>
        <w:t>))</w:t>
      </w:r>
      <w:r>
        <w:rPr>
          <w:u w:val="single"/>
        </w:rPr>
        <w:t xml:space="preserve">; (b)</w:t>
      </w:r>
      <w:r>
        <w:rPr/>
        <w:t xml:space="preserve"> opportunities presented by Washington's abundant forest resources </w:t>
      </w:r>
      <w:r>
        <w:rPr>
          <w:u w:val="single"/>
        </w:rPr>
        <w:t xml:space="preserve">and the associated forest products industry,</w:t>
      </w:r>
      <w:r>
        <w:rPr/>
        <w:t xml:space="preserve"> and </w:t>
      </w:r>
      <w:r>
        <w:rPr>
          <w:u w:val="single"/>
        </w:rPr>
        <w:t xml:space="preserve">aquatic and</w:t>
      </w:r>
      <w:r>
        <w:rPr/>
        <w:t xml:space="preserve"> agriculture land</w:t>
      </w:r>
      <w:r>
        <w:t>((</w:t>
      </w:r>
      <w:r>
        <w:rPr>
          <w:strike/>
        </w:rPr>
        <w:t xml:space="preserve">,</w:t>
      </w:r>
      <w:r>
        <w:t>))</w:t>
      </w:r>
      <w:r>
        <w:rPr>
          <w:u w:val="single"/>
        </w:rPr>
        <w:t xml:space="preserve">;</w:t>
      </w:r>
      <w:r>
        <w:rPr/>
        <w:t xml:space="preserve"> and </w:t>
      </w:r>
      <w:r>
        <w:t>((</w:t>
      </w:r>
      <w:r>
        <w:rPr>
          <w:strike/>
        </w:rPr>
        <w:t xml:space="preserve">the</w:t>
      </w:r>
      <w:r>
        <w:t>))</w:t>
      </w:r>
      <w:r>
        <w:rPr/>
        <w:t xml:space="preserve"> </w:t>
      </w:r>
      <w:r>
        <w:rPr>
          <w:u w:val="single"/>
        </w:rPr>
        <w:t xml:space="preserve">(c)</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any revenues 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one of the state's only industrial sectors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wildlife, clean water, and biodiversity such as provided in chapter 76.09 RCW. Support for the forest sector also ensures the state's working forests avoid catastrophic wildfire and other similar disturbances and avoid deforestation to remain on the landscape in the face of unprecedented conversion pressures.</w:t>
      </w:r>
    </w:p>
    <w:p>
      <w:pPr>
        <w:spacing w:before="0" w:after="0" w:line="408" w:lineRule="exact"/>
        <w:ind w:left="0" w:right="0" w:firstLine="576"/>
        <w:jc w:val="left"/>
      </w:pPr>
      <w:r>
        <w:rPr/>
        <w:t xml:space="preserve">(c) It is the policy of the state to support the synergistic forest products sector.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Policies that support working forests also allow Washington to have participants in current and future vibrant private carbon transaction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forest carbon reforestation and afforestation account is created in the custody of the state treasurer. All specified state funding must be deposited into the account, including appropriations from the general fund, the capital budget, and any specified revenues from other sources, including policies that establish a price on carbon or related federal grant programs. The commission may also deposit into the account any grants, gifts, or donations to the state for purposes consistent with the allowable uses of the account. Expenditures from the account may be used only for commission administrative costs and grants consistent with this section. Only the executive director of the commission or the executive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commission shall use all moneys in the forest carbon reforestation and afforestation account, less reasonable administrative overhead costs, as grants to any private landowner, organization that works with private landowners, nonprofit organization, local government, Indian tribe, or state agency to advance the state's carbon sequestration goals outlined in section 3 of this act. All grant awards must be the result of a competitive process, designed by the commission, that seeks to leverage the carbon sequestration and storage benefits of the investment. Allowable grant project types include funding:</w:t>
      </w:r>
    </w:p>
    <w:p>
      <w:pPr>
        <w:spacing w:before="0" w:after="0" w:line="408" w:lineRule="exact"/>
        <w:ind w:left="0" w:right="0" w:firstLine="576"/>
        <w:jc w:val="left"/>
      </w:pPr>
      <w:r>
        <w:rPr/>
        <w:t xml:space="preserve">(a) For reforestation of forestlands after a wildfire or other disaster for which the landowner was not responsible;</w:t>
      </w:r>
    </w:p>
    <w:p>
      <w:pPr>
        <w:spacing w:before="0" w:after="0" w:line="408" w:lineRule="exact"/>
        <w:ind w:left="0" w:right="0" w:firstLine="576"/>
        <w:jc w:val="left"/>
      </w:pPr>
      <w:r>
        <w:rPr/>
        <w:t xml:space="preserve">(b) For afforestation projects to return fallow land capable of supporting trees to forestlands;</w:t>
      </w:r>
    </w:p>
    <w:p>
      <w:pPr>
        <w:spacing w:before="0" w:after="0" w:line="408" w:lineRule="exact"/>
        <w:ind w:left="0" w:right="0" w:firstLine="576"/>
        <w:jc w:val="left"/>
      </w:pPr>
      <w:r>
        <w:rPr/>
        <w:t xml:space="preserve">(c) To plant sustainable forested buffers and remove nonnative invasive species along otherwise nonforested fish bearing streams; and</w:t>
      </w:r>
    </w:p>
    <w:p>
      <w:pPr>
        <w:spacing w:before="0" w:after="0" w:line="408" w:lineRule="exact"/>
        <w:ind w:left="0" w:right="0" w:firstLine="576"/>
        <w:jc w:val="left"/>
      </w:pPr>
      <w:r>
        <w:rPr/>
        <w:t xml:space="preserve">(d) For urban forest restoration.</w:t>
      </w:r>
    </w:p>
    <w:p>
      <w:pPr>
        <w:spacing w:before="0" w:after="0" w:line="408" w:lineRule="exact"/>
        <w:ind w:left="0" w:right="0" w:firstLine="576"/>
        <w:jc w:val="left"/>
      </w:pPr>
      <w:r>
        <w:rPr/>
        <w:t xml:space="preserve">(3) In addition to administrative costs and grants as provided in this section, the commission may also use funds in the forest carbon reforestation and afforestation account to conduct an opportunity analysis of land in Washington to determine how many acres of deforested land could be returned to forestlands without decreasing food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w:t>
      </w:r>
      <w:r>
        <w:t>((</w:t>
      </w:r>
      <w:r>
        <w:rPr>
          <w:strike/>
        </w:rPr>
        <w:t xml:space="preserve">(a) assist</w:t>
      </w:r>
      <w:r>
        <w:t>))</w:t>
      </w:r>
      <w:r>
        <w:rPr>
          <w:u w:val="single"/>
        </w:rPr>
        <w:t xml:space="preserve">: (i) Assist</w:t>
      </w:r>
      <w:r>
        <w:rPr/>
        <w:t xml:space="preserve"> in expanding the state's role as an international center of trade, culture, and finance; </w:t>
      </w:r>
      <w:r>
        <w:t>((</w:t>
      </w:r>
      <w:r>
        <w:rPr>
          <w:strike/>
        </w:rPr>
        <w:t xml:space="preserve">(b)</w:t>
      </w:r>
      <w:r>
        <w:t>))</w:t>
      </w:r>
      <w:r>
        <w:rPr/>
        <w:t xml:space="preserve"> </w:t>
      </w:r>
      <w:r>
        <w:rPr>
          <w:u w:val="single"/>
        </w:rPr>
        <w:t xml:space="preserve">(ii)</w:t>
      </w:r>
      <w:r>
        <w:rPr/>
        <w:t xml:space="preserve"> promote and market the state's products and services both nationally and internationally; </w:t>
      </w:r>
      <w:r>
        <w:t>((</w:t>
      </w:r>
      <w:r>
        <w:rPr>
          <w:strike/>
        </w:rPr>
        <w:t xml:space="preserve">(c)</w:t>
      </w:r>
      <w:r>
        <w:t>))</w:t>
      </w:r>
      <w:r>
        <w:rPr/>
        <w:t xml:space="preserve"> </w:t>
      </w:r>
      <w:r>
        <w:rPr>
          <w:u w:val="single"/>
        </w:rPr>
        <w:t xml:space="preserve">(iii)</w:t>
      </w:r>
      <w:r>
        <w:rPr/>
        <w:t xml:space="preserve"> work in close cooperation with other private and public international trade efforts; </w:t>
      </w:r>
      <w:r>
        <w:t>((</w:t>
      </w:r>
      <w:r>
        <w:rPr>
          <w:strike/>
        </w:rPr>
        <w:t xml:space="preserve">(d)</w:t>
      </w:r>
      <w:r>
        <w:t>))</w:t>
      </w:r>
      <w:r>
        <w:rPr/>
        <w:t xml:space="preserve"> </w:t>
      </w:r>
      <w:r>
        <w:rPr>
          <w:u w:val="single"/>
        </w:rPr>
        <w:t xml:space="preserve">(iv)</w:t>
      </w:r>
      <w:r>
        <w:rPr/>
        <w:t xml:space="preserve"> act as a centralized location for the assimilation and distribution of trade information; and </w:t>
      </w:r>
      <w:r>
        <w:t>((</w:t>
      </w:r>
      <w:r>
        <w:rPr>
          <w:strike/>
        </w:rPr>
        <w:t xml:space="preserve">(e)</w:t>
      </w:r>
      <w:r>
        <w:t>))</w:t>
      </w:r>
      <w:r>
        <w:rPr/>
        <w:t xml:space="preserve"> </w:t>
      </w:r>
      <w:r>
        <w:rPr>
          <w:u w:val="single"/>
        </w:rPr>
        <w:t xml:space="preserve">(v)</w:t>
      </w:r>
      <w:r>
        <w:rPr/>
        <w:t xml:space="preserve"> establish and operate foreign offices promoting overseas trade and commerce.</w:t>
      </w:r>
    </w:p>
    <w:p>
      <w:pPr>
        <w:spacing w:before="0" w:after="0" w:line="408" w:lineRule="exact"/>
        <w:ind w:left="0" w:right="0" w:firstLine="576"/>
        <w:jc w:val="left"/>
      </w:pPr>
      <w:r>
        <w:rPr>
          <w:u w:val="single"/>
        </w:rPr>
        <w:t xml:space="preserve">(b) As part of implementing this subsection, the department shall contribute to meeting the policies outlined in section 3 of this act by actively promoting markets for the state's forest products when doing so maintains or enhances the forest sector's contribution to climate change mitigation. Promotion of long-lived forest products includes any products of a synergistic industrial sector necessary for the support, maintenance, and expansion of the sector.</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
      <w:pPr>
        <w:jc w:val="center"/>
      </w:pPr>
      <w:r>
        <w:rPr>
          <w:b/>
        </w:rPr>
        <w:t>--- END ---</w:t>
      </w:r>
    </w:p>
    <w:sectPr>
      <w:pgNumType w:start="1"/>
      <w:footerReference xmlns:r="http://schemas.openxmlformats.org/officeDocument/2006/relationships" r:id="Ra564a7fc0e8345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299a5f1d340f8" /><Relationship Type="http://schemas.openxmlformats.org/officeDocument/2006/relationships/footer" Target="/word/footer1.xml" Id="Ra564a7fc0e8345f2" /></Relationships>
</file>