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74d65066304d43" /></Relationships>
</file>

<file path=word/document.xml><?xml version="1.0" encoding="utf-8"?>
<w:document xmlns:w="http://schemas.openxmlformats.org/wordprocessingml/2006/main">
  <w:body>
    <w:p>
      <w:r>
        <w:t>H-3898.2</w:t>
      </w:r>
    </w:p>
    <w:p>
      <w:pPr>
        <w:jc w:val="center"/>
      </w:pPr>
      <w:r>
        <w:t>_______________________________________________</w:t>
      </w:r>
    </w:p>
    <w:p/>
    <w:p>
      <w:pPr>
        <w:jc w:val="center"/>
      </w:pPr>
      <w:r>
        <w:rPr>
          <w:b/>
        </w:rPr>
        <w:t>HOUSE BILL 2565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Doglio, and Hudgins</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labeling of disposable wipes products; adding a new chapter to Title 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"Covered entity" also includes a wholesaler, supplier, or retailer that is responsible for the labeling or packaging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the packaging of a covered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Size the symbol to cover at least two percent of the surface area of the side of the package on which the logo is presented;</w:t>
      </w:r>
    </w:p>
    <w:p>
      <w:pPr>
        <w:spacing w:before="0" w:after="0" w:line="408" w:lineRule="exact"/>
        <w:ind w:left="0" w:right="0" w:firstLine="576"/>
        <w:jc w:val="left"/>
      </w:pPr>
      <w:r>
        <w:rPr/>
        <w:t xml:space="preserve">(3) Place the symbol in a prominent and reasonably visible location on the package which, in the case of packaging intended to dispense individual wipes, is permanently affixed in a location that is visible near the point where individual wipes are dispensed;</w:t>
      </w:r>
    </w:p>
    <w:p>
      <w:pPr>
        <w:spacing w:before="0" w:after="0" w:line="408" w:lineRule="exact"/>
        <w:ind w:left="0" w:right="0" w:firstLine="576"/>
        <w:jc w:val="left"/>
      </w:pPr>
      <w:r>
        <w:rPr/>
        <w:t xml:space="preserve">(4) Ensure the symbol is not obscured by packaging seams, folds, or other package design elements; and</w:t>
      </w:r>
    </w:p>
    <w:p>
      <w:pPr>
        <w:spacing w:before="0" w:after="0" w:line="408" w:lineRule="exact"/>
        <w:ind w:left="0" w:right="0" w:firstLine="576"/>
        <w:jc w:val="left"/>
      </w:pPr>
      <w:r>
        <w:rPr/>
        <w:t xml:space="preserve">(5) Ensure the symbol has sufficiently high contrast with the background of the packaging to be highly readable.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a person, a covered entity must submit to that person, within ninety days of the request, nonconfidential business information and documentation demonstrating compliance with this chapter, in a format that is easy to understand and scientifically accurate.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nonflushable products revolving account created in section 6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4 of this act. A specific violation is deemed to have occurred upon the sale of a noncompliant product by stock-keeping unit number or unique item number. The repeated sale of the same noncompliant product by stock-keeping unit number or unique item number is considered a single violation. A city, county, or the state must send a written notice of an alleged violation and a copy of the requirements of this chapter to a noncompliant covered entity, which will have ninety days to become compliant. A city, county, or the state may assess a first penalty if the covered entity has not met the requirements of this chapter ninety days following the date the notification was sent. A city, county, or the state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nonflushable products revolving account is created in the custody of the state treasurer. All receipts from civil penalties or other amounts recovered by the state in enforcement actions under section 4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has sole authority to adopt rules to ensure the proper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b777dac3e1047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a9a1d2fa745ff" /><Relationship Type="http://schemas.openxmlformats.org/officeDocument/2006/relationships/footer" Target="/word/footer1.xml" Id="Rbb777dac3e1047ba" /></Relationships>
</file>