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5b5ca927f4272" /></Relationships>
</file>

<file path=word/document.xml><?xml version="1.0" encoding="utf-8"?>
<w:document xmlns:w="http://schemas.openxmlformats.org/wordprocessingml/2006/main">
  <w:body>
    <w:p>
      <w:r>
        <w:t>H-3393.3</w:t>
      </w:r>
    </w:p>
    <w:p>
      <w:pPr>
        <w:jc w:val="center"/>
      </w:pPr>
      <w:r>
        <w:t>_______________________________________________</w:t>
      </w:r>
    </w:p>
    <w:p/>
    <w:p>
      <w:pPr>
        <w:jc w:val="center"/>
      </w:pPr>
      <w:r>
        <w:rPr>
          <w:b/>
        </w:rPr>
        <w:t>HOUSE BILL 2570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Barkis, Ryu, Goodman, Peterson, Fitzgibbon, Walsh, Thai, Corry, Macri, Robinson, Gildon, Doglio, Jenkin, Hudgins, Hoff, Frame, Lekanoff, Kloba, Leavitt, Irwin, Bergquist, Davis, Walen, Tharinger, Cody, and Ormsby</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managing growth by planning and zoning for accessory dwelling units; amending RCW 43.21C.495, 35.63.210, 35A.63.230, and 36.70A.400; adding new sections to chapter 36.70A RCW; creating a new section; and repealing RCW 36.70.677 and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The growth management act directs certain cities within urban growth areas to allow accessory dwelling units. However, excessive regulatory and design barriers often limit production in many cities where accessory dwelling units are allowed.</w:t>
      </w:r>
    </w:p>
    <w:p>
      <w:pPr>
        <w:spacing w:before="0" w:after="0" w:line="408" w:lineRule="exact"/>
        <w:ind w:left="0" w:right="0" w:firstLine="576"/>
        <w:jc w:val="left"/>
      </w:pPr>
      <w:r>
        <w:rPr/>
        <w:t xml:space="preserve">(b) Accessory dwelling units provide environmental benefits. They promote energy efficiency compared with average size single-detached houses, and incentivise adaptive reuse of existing homes and materials.</w:t>
      </w:r>
    </w:p>
    <w:p>
      <w:pPr>
        <w:spacing w:before="0" w:after="0" w:line="408" w:lineRule="exact"/>
        <w:ind w:left="0" w:right="0" w:firstLine="576"/>
        <w:jc w:val="left"/>
      </w:pPr>
      <w:r>
        <w:rPr/>
        <w:t xml:space="preserve">(c)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(d)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(e)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(f) Many cities dedicate the majority of residentially zoned land to single-detached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(g) Accessory dwelling units are frequently rented below market rate, providing additional affordable housing options for renters.</w:t>
      </w:r>
    </w:p>
    <w:p>
      <w:pPr>
        <w:spacing w:before="0" w:after="0" w:line="408" w:lineRule="exact"/>
        <w:ind w:left="0" w:right="0" w:firstLine="576"/>
        <w:jc w:val="left"/>
      </w:pPr>
      <w:r>
        <w:rPr/>
        <w:t xml:space="preserve">(h)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(i)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(j) Removing certain regulatory barriers to the construction of accessory dwelling units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chapter 338,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4, and 5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"Covered cities" means all cities, code cities, and towns located in a county planning under RCW 36.70A.040 and that had a population of at least two thousand five hundred, as determined by the office of financial management.</w:t>
      </w:r>
    </w:p>
    <w:p>
      <w:pPr>
        <w:spacing w:before="0" w:after="0" w:line="408" w:lineRule="exact"/>
        <w:ind w:left="0" w:right="0" w:firstLine="576"/>
        <w:jc w:val="left"/>
      </w:pPr>
      <w:r>
        <w:rPr/>
        <w:t xml:space="preserve">(4) "Covered counties" means all counties planning under 36.70A.040 that have a population of at least fifteen thousand, as determined by the office of financial management.</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Covered cities and covered counties must adopt or amend by ordinance and incorporate into their development regulations, zoning regulations, and other official controls, an authorization for the creation of accessory dwelling units that is consistent with this section and section 4 of this act.</w:t>
      </w:r>
    </w:p>
    <w:p>
      <w:pPr>
        <w:spacing w:before="0" w:after="0" w:line="408" w:lineRule="exact"/>
        <w:ind w:left="0" w:right="0" w:firstLine="576"/>
        <w:jc w:val="left"/>
      </w:pPr>
      <w:r>
        <w:rPr/>
        <w:t xml:space="preserve">(2) Ordinances, development regulations, and other official controls adopted or amended pursuant to this section and sections 4 and 5 of this act are only required to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(4)(a) Any action taken by a covered city or covered county to comply with the requirements of this section and section 4 of this act, or to implement the options specified in section 5 of this act within its urban growth area boundary is not subject to legal challenge under this chapter or chapter 43.21C RCW.</w:t>
      </w:r>
    </w:p>
    <w:p>
      <w:pPr>
        <w:spacing w:before="0" w:after="0" w:line="408" w:lineRule="exact"/>
        <w:ind w:left="0" w:right="0" w:firstLine="576"/>
        <w:jc w:val="left"/>
      </w:pPr>
      <w:r>
        <w:rPr/>
        <w:t xml:space="preserve">(b) A covered city or covered county that does not comply with the requirements of this section and section 4 of this act is subject to legal challenge under this chapter.</w:t>
      </w:r>
    </w:p>
    <w:p>
      <w:pPr>
        <w:spacing w:before="0" w:after="0" w:line="408" w:lineRule="exact"/>
        <w:ind w:left="0" w:right="0" w:firstLine="576"/>
        <w:jc w:val="left"/>
      </w:pPr>
      <w:r>
        <w:rPr/>
        <w:t xml:space="preserve">(5)(a)(i) Covered cities that had a population of at least two thousand five hundred and counties that had a population of at least fifteen thousand as of April 1, 2019, must adopt ordinances, regulations, or other official controls to implement the requirements of section 4 of this act that take effect by July 1, 2021.</w:t>
      </w:r>
    </w:p>
    <w:p>
      <w:pPr>
        <w:spacing w:before="0" w:after="0" w:line="408" w:lineRule="exact"/>
        <w:ind w:left="0" w:right="0" w:firstLine="576"/>
        <w:jc w:val="left"/>
      </w:pPr>
      <w:r>
        <w:rPr/>
        <w:t xml:space="preserve">(ii) A city or county that becomes a covered city or county as a result of population growth must adopt ordinances, regulations, or other official controls to implement the requirements of section 4 of this act that take effect no later than twelve months after a determination by the office of financial management that the city in a county planning under RCW 36.70A.040 has a population of two thousand five hundred or a county planning under RCW 36.70A.040 has a population that exceeds fifteen thousand.</w:t>
      </w:r>
    </w:p>
    <w:p>
      <w:pPr>
        <w:spacing w:before="0" w:after="0" w:line="408" w:lineRule="exact"/>
        <w:ind w:left="0" w:right="0" w:firstLine="576"/>
        <w:jc w:val="left"/>
      </w:pPr>
      <w:r>
        <w:rPr/>
        <w:t xml:space="preserve">(b) Beginning July 1, 2021, the requirements of section 4 of this act:</w:t>
      </w:r>
    </w:p>
    <w:p>
      <w:pPr>
        <w:spacing w:before="0" w:after="0" w:line="408" w:lineRule="exact"/>
        <w:ind w:left="0" w:right="0" w:firstLine="576"/>
        <w:jc w:val="left"/>
      </w:pPr>
      <w:r>
        <w:rPr/>
        <w:t xml:space="preserve">(i) Apply and take effect in any covered city or covered county that has not adopted ordinances, regulations, or other official controls as required by this section; and</w:t>
      </w:r>
    </w:p>
    <w:p>
      <w:pPr>
        <w:spacing w:before="0" w:after="0" w:line="408" w:lineRule="exact"/>
        <w:ind w:left="0" w:right="0" w:firstLine="576"/>
        <w:jc w:val="left"/>
      </w:pPr>
      <w:r>
        <w:rPr/>
        <w:t xml:space="preserve">(ii) Supersede, preempt, and invalidate any local development regulations that conflict with the provisions of section 4 of this act.</w:t>
      </w:r>
    </w:p>
    <w:p>
      <w:pPr>
        <w:spacing w:before="0" w:after="0" w:line="408" w:lineRule="exact"/>
        <w:ind w:left="0" w:right="0" w:firstLine="576"/>
        <w:jc w:val="left"/>
      </w:pPr>
      <w:r>
        <w:rPr/>
        <w:t xml:space="preserve">(6) Nothing in this section or section 4 or 5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by section 3 of this act, covered cities and covered counties:</w:t>
      </w:r>
    </w:p>
    <w:p>
      <w:pPr>
        <w:spacing w:before="0" w:after="0" w:line="408" w:lineRule="exact"/>
        <w:ind w:left="0" w:right="0" w:firstLine="576"/>
        <w:jc w:val="left"/>
      </w:pPr>
      <w:r>
        <w:rPr/>
        <w:t xml:space="preserve">(1)(a) Must allow at least one accessory dwelling unit on all lots that are located in all zoning districts that allow for single-family homes; the accessory dwelling units allowed under this subsection (1)(a) may be either attached accessory dwelling units or detached accessory dwelling units; if the unit is a detached accessory dwelling unit, the lot must be at least three thousand five-hundred square feet.</w:t>
      </w:r>
    </w:p>
    <w:p>
      <w:pPr>
        <w:spacing w:before="0" w:after="0" w:line="408" w:lineRule="exact"/>
        <w:ind w:left="0" w:right="0" w:firstLine="576"/>
        <w:jc w:val="left"/>
      </w:pPr>
      <w:r>
        <w:rPr/>
        <w:t xml:space="preserve">(b) May not establish a requirement for the provision of off-street parking for accessory dwelling units;</w:t>
      </w:r>
    </w:p>
    <w:p>
      <w:pPr>
        <w:spacing w:before="0" w:after="0" w:line="408" w:lineRule="exact"/>
        <w:ind w:left="0" w:right="0" w:firstLine="576"/>
        <w:jc w:val="left"/>
      </w:pPr>
      <w:r>
        <w:rPr/>
        <w:t xml:space="preserve">(c) May not require the owner of a lot on which there is an accessory dwelling unit to reside in or occupy the accessory dwelling unit or another housing unit on the same lot, and may not require a period of continuous ownership before permitting construction of an accessory dwelling unit on a lot;</w:t>
      </w:r>
    </w:p>
    <w:p>
      <w:pPr>
        <w:spacing w:before="0" w:after="0" w:line="408" w:lineRule="exact"/>
        <w:ind w:left="0" w:right="0" w:firstLine="576"/>
        <w:jc w:val="left"/>
      </w:pPr>
      <w:r>
        <w:rPr/>
        <w:t xml:space="preserve">(d) May not charge permitting and plan review fees under chapter 19.27 RCW for accessory dwelling units that exceed fifty percent of the fees charged for single-family residences;</w:t>
      </w:r>
    </w:p>
    <w:p>
      <w:pPr>
        <w:spacing w:before="0" w:after="0" w:line="408" w:lineRule="exact"/>
        <w:ind w:left="0" w:right="0" w:firstLine="576"/>
        <w:jc w:val="left"/>
      </w:pPr>
      <w:r>
        <w:rPr/>
        <w:t xml:space="preserve">(e) May not establish an impact fee amount for accessory dwelling units that is greater than fifty percent of the amount set for single-family residences; and</w:t>
      </w:r>
    </w:p>
    <w:p>
      <w:pPr>
        <w:spacing w:before="0" w:after="0" w:line="408" w:lineRule="exact"/>
        <w:ind w:left="0" w:right="0" w:firstLine="576"/>
        <w:jc w:val="left"/>
      </w:pPr>
      <w:r>
        <w:rPr/>
        <w:t xml:space="preserve">(f)(i) May not require installation of a new or separate utility connection between an accessory dwelling unit and a utility unless the jurisdiction finds that the site-specific technical, environmental, or financial considerations warrant a separation of utility connections for accessory dwelling units from other housing units on the lot;</w:t>
      </w:r>
    </w:p>
    <w:p>
      <w:pPr>
        <w:spacing w:before="0" w:after="0" w:line="408" w:lineRule="exact"/>
        <w:ind w:left="0" w:right="0" w:firstLine="576"/>
        <w:jc w:val="left"/>
      </w:pPr>
      <w:r>
        <w:rPr/>
        <w:t xml:space="preserve">(ii) May not consider attached accessory dwelling units to be new residential uses for the purpose of calculating connection fees or capacity charges for utilities; and</w:t>
      </w:r>
    </w:p>
    <w:p>
      <w:pPr>
        <w:spacing w:before="0" w:after="0" w:line="408" w:lineRule="exact"/>
        <w:ind w:left="0" w:right="0" w:firstLine="576"/>
        <w:jc w:val="left"/>
      </w:pPr>
      <w:r>
        <w:rPr/>
        <w:t xml:space="preserve">(iii) May require a new or separate utility connection directly between an accessory dwelling unit and a utility and may subject the connection to a connection fee or capacity charge that must:</w:t>
      </w:r>
    </w:p>
    <w:p>
      <w:pPr>
        <w:spacing w:before="0" w:after="0" w:line="408" w:lineRule="exact"/>
        <w:ind w:left="0" w:right="0" w:firstLine="576"/>
        <w:jc w:val="left"/>
      </w:pPr>
      <w:r>
        <w:rPr/>
        <w:t xml:space="preserve">(A) Be proportionate to the burden of the proposed accessory dwelling unit, based on its size or number of plumbing fixtures, upon the water or sewer system;</w:t>
      </w:r>
    </w:p>
    <w:p>
      <w:pPr>
        <w:spacing w:before="0" w:after="0" w:line="408" w:lineRule="exact"/>
        <w:ind w:left="0" w:right="0" w:firstLine="576"/>
        <w:jc w:val="left"/>
      </w:pPr>
      <w:r>
        <w:rPr/>
        <w:t xml:space="preserve">(B) Not exceed the reasonable cost of providing the service; and</w:t>
      </w:r>
    </w:p>
    <w:p>
      <w:pPr>
        <w:spacing w:before="0" w:after="0" w:line="408" w:lineRule="exact"/>
        <w:ind w:left="0" w:right="0" w:firstLine="576"/>
        <w:jc w:val="left"/>
      </w:pPr>
      <w:r>
        <w:rPr/>
        <w:t xml:space="preserve">(C) Not be inconsistent with water availability requirements, water system plans, small water system management plans, or established policies adopted by the water or sewer utility provider; and</w:t>
      </w:r>
    </w:p>
    <w:p>
      <w:pPr>
        <w:spacing w:before="0" w:after="0" w:line="408" w:lineRule="exact"/>
        <w:ind w:left="0" w:right="0" w:firstLine="576"/>
        <w:jc w:val="left"/>
      </w:pPr>
      <w:r>
        <w:rPr/>
        <w:t xml:space="preserve">(2) Must achieve at least three of the following five policy outcomes that apply in all zoning districts that allow for single-family homes:</w:t>
      </w:r>
    </w:p>
    <w:p>
      <w:pPr>
        <w:spacing w:before="0" w:after="0" w:line="408" w:lineRule="exact"/>
        <w:ind w:left="0" w:right="0" w:firstLine="576"/>
        <w:jc w:val="left"/>
      </w:pPr>
      <w:r>
        <w:rPr/>
        <w:t xml:space="preserve">(a) Allow at least two accessory dwelling units on all lots on which there is a single-family housing unit, duplex, triplex, fourplex, rowhouse, townhome, or apartment building, regardless of zoning district; the two accessory dwelling units may be in any of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(b) Do not establish a maximum gross floor area requirement for accessory dwelling units that is less than one thousand square feet;</w:t>
      </w:r>
    </w:p>
    <w:p>
      <w:pPr>
        <w:spacing w:before="0" w:after="0" w:line="408" w:lineRule="exact"/>
        <w:ind w:left="0" w:right="0" w:firstLine="576"/>
        <w:jc w:val="left"/>
      </w:pPr>
      <w:r>
        <w:rPr/>
        <w:t xml:space="preserve">(c) Do not establish a roof height limitation on accessory dwelling units of less than twenty-four feet;</w:t>
      </w:r>
    </w:p>
    <w:p>
      <w:pPr>
        <w:spacing w:before="0" w:after="0" w:line="408" w:lineRule="exact"/>
        <w:ind w:left="0" w:right="0" w:firstLine="576"/>
        <w:jc w:val="left"/>
      </w:pPr>
      <w:r>
        <w:rPr/>
        <w:t xml:space="preserve">(d) Adopt model accessory dwelling unit architectural plans that are preapproved for public use under some or all local building and environmental permitting requirements; or</w:t>
      </w:r>
    </w:p>
    <w:p>
      <w:pPr>
        <w:spacing w:before="0" w:after="0" w:line="408" w:lineRule="exact"/>
        <w:ind w:left="0" w:right="0" w:firstLine="576"/>
        <w:jc w:val="left"/>
      </w:pPr>
      <w:r>
        <w:rPr/>
        <w:t xml:space="preserve">(e) Allow detached accessory dwelling units to be sited at the lot line of the rear yard if the rear yard is adjacent to an alley.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Covered cities and counties are encouraged, but not required, to adopt ordinances, development regulations, and other official controls that:</w:t>
      </w:r>
    </w:p>
    <w:p>
      <w:pPr>
        <w:spacing w:before="0" w:after="0" w:line="408" w:lineRule="exact"/>
        <w:ind w:left="0" w:right="0" w:firstLine="576"/>
        <w:jc w:val="left"/>
      </w:pPr>
      <w:r>
        <w:rPr/>
        <w:t xml:space="preserve">(1) Do not require impact fees under chapter 82.02 RCW for accessory dwelling units;</w:t>
      </w:r>
    </w:p>
    <w:p>
      <w:pPr>
        <w:spacing w:before="0" w:after="0" w:line="408" w:lineRule="exact"/>
        <w:ind w:left="0" w:right="0" w:firstLine="576"/>
        <w:jc w:val="left"/>
      </w:pPr>
      <w:r>
        <w:rPr/>
        <w:t xml:space="preserve">(2) Do not establish tree retention requirements for accessory dwelling units that are in addition to any tree retention requirements for single-family housing units;</w:t>
      </w:r>
    </w:p>
    <w:p>
      <w:pPr>
        <w:spacing w:before="0" w:after="0" w:line="408" w:lineRule="exact"/>
        <w:ind w:left="0" w:right="0" w:firstLine="576"/>
        <w:jc w:val="left"/>
      </w:pPr>
      <w:r>
        <w:rPr/>
        <w:t xml:space="preserve">(3) Do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(4)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(5) Do not establish a minimum gross floor area requirement for accessory dwelling units that is greater than two hundred square feet;</w:t>
      </w:r>
    </w:p>
    <w:p>
      <w:pPr>
        <w:spacing w:before="0" w:after="0" w:line="408" w:lineRule="exact"/>
        <w:ind w:left="0" w:right="0" w:firstLine="576"/>
        <w:jc w:val="left"/>
      </w:pPr>
      <w:r>
        <w:rPr/>
        <w:t xml:space="preserve">(6) Do not establish a limit for the percent of the rear yard that an accessory dwelling unit may cover that is less than sixty percent of the rear yard;</w:t>
      </w:r>
    </w:p>
    <w:p>
      <w:pPr>
        <w:spacing w:before="0" w:after="0" w:line="408" w:lineRule="exact"/>
        <w:ind w:left="0" w:right="0" w:firstLine="576"/>
        <w:jc w:val="left"/>
      </w:pPr>
      <w:r>
        <w:rPr/>
        <w:t xml:space="preserve">(7) Do not establish setback regulations that are more restrictive than for single-family housing units;</w:t>
      </w:r>
    </w:p>
    <w:p>
      <w:pPr>
        <w:spacing w:before="0" w:after="0" w:line="408" w:lineRule="exact"/>
        <w:ind w:left="0" w:right="0" w:firstLine="576"/>
        <w:jc w:val="left"/>
      </w:pPr>
      <w:r>
        <w:rPr/>
        <w:t xml:space="preserve">(8) Do not require that the exterior design or appearance of an accessory dwelling unit be similar to the exterior design or appearance of the principal housing unit, including through regulations that require an accessory dwelling unit to have similar roof pitch, siding, or windows as the primary housing unit;</w:t>
      </w:r>
    </w:p>
    <w:p>
      <w:pPr>
        <w:spacing w:before="0" w:after="0" w:line="408" w:lineRule="exact"/>
        <w:ind w:left="0" w:right="0" w:firstLine="576"/>
        <w:jc w:val="left"/>
      </w:pPr>
      <w:r>
        <w:rPr/>
        <w:t xml:space="preserve">(9) Do not count the gross floor area of an accessory dwelling unit against any floor area ratio limitations that apply to single-family or other primary housing units;</w:t>
      </w:r>
    </w:p>
    <w:p>
      <w:pPr>
        <w:spacing w:before="0" w:after="0" w:line="408" w:lineRule="exact"/>
        <w:ind w:left="0" w:right="0" w:firstLine="576"/>
        <w:jc w:val="left"/>
      </w:pPr>
      <w:r>
        <w:rPr/>
        <w:t xml:space="preserve">(10) Allow detached accessory dwelling units to be sited within five feet of a lot line if there is written approval from the property owner with whom the lot line is shared on file in the jurisdiction in which the detached accessory dwelling unit is located; and</w:t>
      </w:r>
    </w:p>
    <w:p>
      <w:pPr>
        <w:spacing w:before="0" w:after="0" w:line="408" w:lineRule="exact"/>
        <w:ind w:left="0" w:right="0" w:firstLine="576"/>
        <w:jc w:val="left"/>
      </w:pPr>
      <w:r>
        <w:rPr/>
        <w:t xml:space="preserve">(11) Do not regulate the location of the entry doors of accessory dwelling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covered city or county consistent with the requirements of sections 3 and 4 of this act or to achieve the options encouraged in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(2)</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
      <w:pPr>
        <w:jc w:val="center"/>
      </w:pPr>
      <w:r>
        <w:rPr>
          <w:b/>
        </w:rPr>
        <w:t>--- END ---</w:t>
      </w:r>
    </w:p>
    <w:sectPr>
      <w:pgNumType w:start="1"/>
      <w:footerReference xmlns:r="http://schemas.openxmlformats.org/officeDocument/2006/relationships" r:id="R2eaf79aa1a764d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5c29363574bc8" /><Relationship Type="http://schemas.openxmlformats.org/officeDocument/2006/relationships/footer" Target="/word/footer1.xml" Id="R2eaf79aa1a764d5f" /></Relationships>
</file>